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b/>
          <w:bCs/>
          <w:sz w:val="32"/>
          <w:szCs w:val="32"/>
        </w:rPr>
        <w:t xml:space="preserve">KURDISTAN TECHNICAL INSTITUTE</w:t>
      </w:r>
    </w:p>
    <w:p>
      <w:pPr>
        <w:spacing w:after="400"/>
        <w:jc w:val="center"/>
      </w:pPr>
      <w:r>
        <w:rPr>
          <w:sz w:val="24"/>
          <w:szCs w:val="24"/>
        </w:rPr>
        <w:t xml:space="preserve">Department of Dental Assisting</w:t>
      </w:r>
    </w:p>
    <w:p>
      <w:pPr>
        <w:spacing w:after="160"/>
        <w:jc w:val="center"/>
      </w:pPr>
      <w:r>
        <w:rPr>
          <w:b/>
          <w:bCs/>
          <w:sz w:val="30"/>
          <w:szCs w:val="30"/>
        </w:rPr>
        <w:t xml:space="preserve">PROGRAM SPECIFICATION</w:t>
      </w:r>
    </w:p>
    <w:p>
      <w:pPr>
        <w:spacing w:after="400"/>
        <w:jc w:val="center"/>
      </w:pPr>
      <w:r>
        <w:rPr>
          <w:sz w:val="26"/>
          <w:szCs w:val="26"/>
        </w:rPr>
        <w:t xml:space="preserve">Advanced Technical Diploma of Dental Assisting</w:t>
      </w:r>
    </w:p>
    <w:p>
      <w:pPr>
        <w:spacing w:after="60"/>
        <w:jc w:val="center"/>
      </w:pPr>
      <w:r>
        <w:rPr>
          <w:i/>
          <w:iCs/>
        </w:rPr>
        <w:t xml:space="preserve">Prepared under the KTI Curriculum Update Procedure</w:t>
      </w:r>
    </w:p>
    <w:p>
      <w:pPr>
        <w:spacing w:after="60"/>
        <w:jc w:val="center"/>
      </w:pPr>
      <w:r>
        <w:rPr>
          <w:i/>
          <w:iCs/>
        </w:rPr>
        <w:t xml:space="preserve">Effective from the 2026–2027 academic year</w:t>
      </w:r>
    </w:p>
    <w:p>
      <w:pPr>
        <w:spacing w:after="60"/>
        <w:jc w:val="center"/>
      </w:pPr>
      <w:r>
        <w:rPr>
          <w:i/>
          <w:iCs/>
        </w:rPr>
        <w:t xml:space="preserve">September 2026</w:t>
      </w:r>
    </w:p>
    <w:p>
      <w:r>
        <w:br w:type="page"/>
      </w:r>
    </w:p>
    <w:p>
      <w:pPr>
        <w:pStyle w:val="Heading1"/>
      </w:pPr>
      <w:r>
        <w:t xml:space="preserve">Document control</w:t>
      </w:r>
    </w:p>
    <w:p>
      <w:pPr>
        <w:spacing w:after="160"/>
      </w:pPr>
      <w:r>
        <w:t xml:space="preserve">This block makes the specification a controlled quality record. It is maintained by the Head of Department and revised through the KTI curriculum-update procedure.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600"/>
        <w:gridCol w:w="6400"/>
      </w:tblGrid>
      <w:tr>
        <w:tc>
          <w:tcPr>
            <w:tcW w:type="dxa" w:w="2600"/>
            <w:tcBorders>
              <w:top w:val="single" w:color="BFBFBF" w:sz="4"/>
              <w:left w:val="single" w:color="BFBFBF" w:sz="4"/>
              <w:bottom w:val="single" w:color="BFBFBF" w:sz="4"/>
              <w:right w:val="single" w:color="BFBFBF" w:sz="4"/>
            </w:tcBorders>
            <w:shd w:fill="F2F2F2" w:val="clear"/>
            <w:tcMar>
              <w:top w:type="dxa" w:w="60"/>
              <w:left w:type="dxa" w:w="90"/>
              <w:bottom w:type="dxa" w:w="60"/>
              <w:right w:type="dxa" w:w="90"/>
            </w:tcMar>
            <w:vAlign w:val="center"/>
          </w:tcPr>
          <w:p>
            <w:pPr>
              <w:spacing w:after="40"/>
            </w:pPr>
            <w:r>
              <w:rPr>
                <w:b/>
                <w:bCs/>
              </w:rPr>
              <w:t xml:space="preserve">Program title</w:t>
            </w:r>
          </w:p>
        </w:tc>
        <w:tc>
          <w:tcPr>
            <w:tcW w:type="dxa" w:w="64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Advanced Technical Diploma of Dental Assisting</w:t>
            </w:r>
          </w:p>
        </w:tc>
      </w:tr>
      <w:tr>
        <w:tc>
          <w:tcPr>
            <w:tcW w:type="dxa" w:w="2600"/>
            <w:tcBorders>
              <w:top w:val="single" w:color="BFBFBF" w:sz="4"/>
              <w:left w:val="single" w:color="BFBFBF" w:sz="4"/>
              <w:bottom w:val="single" w:color="BFBFBF" w:sz="4"/>
              <w:right w:val="single" w:color="BFBFBF" w:sz="4"/>
            </w:tcBorders>
            <w:shd w:fill="F2F2F2" w:val="clear"/>
            <w:tcMar>
              <w:top w:type="dxa" w:w="60"/>
              <w:left w:type="dxa" w:w="90"/>
              <w:bottom w:type="dxa" w:w="60"/>
              <w:right w:type="dxa" w:w="90"/>
            </w:tcMar>
            <w:vAlign w:val="center"/>
          </w:tcPr>
          <w:p>
            <w:pPr>
              <w:spacing w:after="40"/>
            </w:pPr>
            <w:r>
              <w:rPr>
                <w:b/>
                <w:bCs/>
              </w:rPr>
              <w:t xml:space="preserve">Department</w:t>
            </w:r>
          </w:p>
        </w:tc>
        <w:tc>
          <w:tcPr>
            <w:tcW w:type="dxa" w:w="64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Dental Assisting</w:t>
            </w:r>
          </w:p>
        </w:tc>
      </w:tr>
      <w:tr>
        <w:tc>
          <w:tcPr>
            <w:tcW w:type="dxa" w:w="2600"/>
            <w:tcBorders>
              <w:top w:val="single" w:color="BFBFBF" w:sz="4"/>
              <w:left w:val="single" w:color="BFBFBF" w:sz="4"/>
              <w:bottom w:val="single" w:color="BFBFBF" w:sz="4"/>
              <w:right w:val="single" w:color="BFBFBF" w:sz="4"/>
            </w:tcBorders>
            <w:shd w:fill="F2F2F2" w:val="clear"/>
            <w:tcMar>
              <w:top w:type="dxa" w:w="60"/>
              <w:left w:type="dxa" w:w="90"/>
              <w:bottom w:type="dxa" w:w="60"/>
              <w:right w:type="dxa" w:w="90"/>
            </w:tcMar>
            <w:vAlign w:val="center"/>
          </w:tcPr>
          <w:p>
            <w:pPr>
              <w:spacing w:after="40"/>
            </w:pPr>
            <w:r>
              <w:rPr>
                <w:b/>
                <w:bCs/>
              </w:rPr>
              <w:t xml:space="preserve">Document owner</w:t>
            </w:r>
          </w:p>
        </w:tc>
        <w:tc>
          <w:tcPr>
            <w:tcW w:type="dxa" w:w="64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Head of Department, Dental Assisting</w:t>
            </w:r>
          </w:p>
        </w:tc>
      </w:tr>
      <w:tr>
        <w:tc>
          <w:tcPr>
            <w:tcW w:type="dxa" w:w="2600"/>
            <w:tcBorders>
              <w:top w:val="single" w:color="BFBFBF" w:sz="4"/>
              <w:left w:val="single" w:color="BFBFBF" w:sz="4"/>
              <w:bottom w:val="single" w:color="BFBFBF" w:sz="4"/>
              <w:right w:val="single" w:color="BFBFBF" w:sz="4"/>
            </w:tcBorders>
            <w:shd w:fill="F2F2F2" w:val="clear"/>
            <w:tcMar>
              <w:top w:type="dxa" w:w="60"/>
              <w:left w:type="dxa" w:w="90"/>
              <w:bottom w:type="dxa" w:w="60"/>
              <w:right w:type="dxa" w:w="90"/>
            </w:tcMar>
            <w:vAlign w:val="center"/>
          </w:tcPr>
          <w:p>
            <w:pPr>
              <w:spacing w:after="40"/>
            </w:pPr>
            <w:r>
              <w:rPr>
                <w:b/>
                <w:bCs/>
              </w:rPr>
              <w:t xml:space="preserve">Version</w:t>
            </w:r>
          </w:p>
        </w:tc>
        <w:tc>
          <w:tcPr>
            <w:tcW w:type="dxa" w:w="64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v1.1 — updates every course code against the department's 2026–2027 syllabus table (2027_DA.xlsx); supersedes v1.0</w:t>
            </w:r>
          </w:p>
        </w:tc>
      </w:tr>
      <w:tr>
        <w:tc>
          <w:tcPr>
            <w:tcW w:type="dxa" w:w="2600"/>
            <w:tcBorders>
              <w:top w:val="single" w:color="BFBFBF" w:sz="4"/>
              <w:left w:val="single" w:color="BFBFBF" w:sz="4"/>
              <w:bottom w:val="single" w:color="BFBFBF" w:sz="4"/>
              <w:right w:val="single" w:color="BFBFBF" w:sz="4"/>
            </w:tcBorders>
            <w:shd w:fill="F2F2F2" w:val="clear"/>
            <w:tcMar>
              <w:top w:type="dxa" w:w="60"/>
              <w:left w:type="dxa" w:w="90"/>
              <w:bottom w:type="dxa" w:w="60"/>
              <w:right w:type="dxa" w:w="90"/>
            </w:tcMar>
            <w:vAlign w:val="center"/>
          </w:tcPr>
          <w:p>
            <w:pPr>
              <w:spacing w:after="40"/>
            </w:pPr>
            <w:r>
              <w:rPr>
                <w:b/>
                <w:bCs/>
              </w:rPr>
              <w:t xml:space="preserve">Approved by</w:t>
            </w:r>
          </w:p>
        </w:tc>
        <w:tc>
          <w:tcPr>
            <w:tcW w:type="dxa" w:w="64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Scientific Affairs &amp; Quality Assurance Directorate / Dean</w:t>
            </w:r>
          </w:p>
        </w:tc>
      </w:tr>
      <w:tr>
        <w:tc>
          <w:tcPr>
            <w:tcW w:type="dxa" w:w="2600"/>
            <w:tcBorders>
              <w:top w:val="single" w:color="BFBFBF" w:sz="4"/>
              <w:left w:val="single" w:color="BFBFBF" w:sz="4"/>
              <w:bottom w:val="single" w:color="BFBFBF" w:sz="4"/>
              <w:right w:val="single" w:color="BFBFBF" w:sz="4"/>
            </w:tcBorders>
            <w:shd w:fill="F2F2F2" w:val="clear"/>
            <w:tcMar>
              <w:top w:type="dxa" w:w="60"/>
              <w:left w:type="dxa" w:w="90"/>
              <w:bottom w:type="dxa" w:w="60"/>
              <w:right w:type="dxa" w:w="90"/>
            </w:tcMar>
            <w:vAlign w:val="center"/>
          </w:tcPr>
          <w:p>
            <w:pPr>
              <w:spacing w:after="40"/>
            </w:pPr>
            <w:r>
              <w:rPr>
                <w:b/>
                <w:bCs/>
              </w:rPr>
              <w:t xml:space="preserve">Approval date</w:t>
            </w:r>
          </w:p>
        </w:tc>
        <w:tc>
          <w:tcPr>
            <w:tcW w:type="dxa" w:w="64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 to be completed on approval ]</w:t>
            </w:r>
          </w:p>
        </w:tc>
      </w:tr>
      <w:tr>
        <w:tc>
          <w:tcPr>
            <w:tcW w:type="dxa" w:w="2600"/>
            <w:tcBorders>
              <w:top w:val="single" w:color="BFBFBF" w:sz="4"/>
              <w:left w:val="single" w:color="BFBFBF" w:sz="4"/>
              <w:bottom w:val="single" w:color="BFBFBF" w:sz="4"/>
              <w:right w:val="single" w:color="BFBFBF" w:sz="4"/>
            </w:tcBorders>
            <w:shd w:fill="F2F2F2" w:val="clear"/>
            <w:tcMar>
              <w:top w:type="dxa" w:w="60"/>
              <w:left w:type="dxa" w:w="90"/>
              <w:bottom w:type="dxa" w:w="60"/>
              <w:right w:type="dxa" w:w="90"/>
            </w:tcMar>
            <w:vAlign w:val="center"/>
          </w:tcPr>
          <w:p>
            <w:pPr>
              <w:spacing w:after="40"/>
            </w:pPr>
            <w:r>
              <w:rPr>
                <w:b/>
                <w:bCs/>
              </w:rPr>
              <w:t xml:space="preserve">Effective from</w:t>
            </w:r>
          </w:p>
        </w:tc>
        <w:tc>
          <w:tcPr>
            <w:tcW w:type="dxa" w:w="64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Academic year 2026–2027</w:t>
            </w:r>
          </w:p>
        </w:tc>
      </w:tr>
      <w:tr>
        <w:tc>
          <w:tcPr>
            <w:tcW w:type="dxa" w:w="2600"/>
            <w:tcBorders>
              <w:top w:val="single" w:color="BFBFBF" w:sz="4"/>
              <w:left w:val="single" w:color="BFBFBF" w:sz="4"/>
              <w:bottom w:val="single" w:color="BFBFBF" w:sz="4"/>
              <w:right w:val="single" w:color="BFBFBF" w:sz="4"/>
            </w:tcBorders>
            <w:shd w:fill="F2F2F2" w:val="clear"/>
            <w:tcMar>
              <w:top w:type="dxa" w:w="60"/>
              <w:left w:type="dxa" w:w="90"/>
              <w:bottom w:type="dxa" w:w="60"/>
              <w:right w:type="dxa" w:w="90"/>
            </w:tcMar>
            <w:vAlign w:val="center"/>
          </w:tcPr>
          <w:p>
            <w:pPr>
              <w:spacing w:after="40"/>
            </w:pPr>
            <w:r>
              <w:rPr>
                <w:b/>
                <w:bCs/>
              </w:rPr>
              <w:t xml:space="preserve">Next review due</w:t>
            </w:r>
          </w:p>
        </w:tc>
        <w:tc>
          <w:tcPr>
            <w:tcW w:type="dxa" w:w="64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August 2027 (annual review)</w:t>
            </w:r>
          </w:p>
        </w:tc>
      </w:tr>
      <w:tr>
        <w:tc>
          <w:tcPr>
            <w:tcW w:type="dxa" w:w="2600"/>
            <w:tcBorders>
              <w:top w:val="single" w:color="BFBFBF" w:sz="4"/>
              <w:left w:val="single" w:color="BFBFBF" w:sz="4"/>
              <w:bottom w:val="single" w:color="BFBFBF" w:sz="4"/>
              <w:right w:val="single" w:color="BFBFBF" w:sz="4"/>
            </w:tcBorders>
            <w:shd w:fill="F2F2F2" w:val="clear"/>
            <w:tcMar>
              <w:top w:type="dxa" w:w="60"/>
              <w:left w:type="dxa" w:w="90"/>
              <w:bottom w:type="dxa" w:w="60"/>
              <w:right w:type="dxa" w:w="90"/>
            </w:tcMar>
            <w:vAlign w:val="center"/>
          </w:tcPr>
          <w:p>
            <w:pPr>
              <w:spacing w:after="40"/>
            </w:pPr>
            <w:r>
              <w:rPr>
                <w:b/>
                <w:bCs/>
              </w:rPr>
              <w:t xml:space="preserve">Basis of revision</w:t>
            </w:r>
          </w:p>
        </w:tc>
        <w:tc>
          <w:tcPr>
            <w:tcW w:type="dxa" w:w="64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Dental Assisting curriculum update, Phase 1, as recorded in the department's Syllabus Update tracker, together with the department's 2026–2027 syllabus table (2027_DA.xlsx), which is the authoritative source for course codes, contact hours, ECTS and module category used in this revision</w:t>
            </w:r>
          </w:p>
        </w:tc>
      </w:tr>
    </w:tbl>
    <w:p>
      <w:pPr>
        <w:spacing w:after="160"/>
      </w:pPr>
      <w:r>
        <w:t xml:space="preserve"/>
      </w:r>
    </w:p>
    <w:p>
      <w:pPr>
        <w:spacing w:after="60"/>
      </w:pPr>
      <w:r>
        <w:rPr>
          <w:b/>
          <w:bCs/>
        </w:rPr>
        <w:t xml:space="preserve">Note on the version described.</w:t>
      </w:r>
    </w:p>
    <w:p>
      <w:pPr>
        <w:spacing w:after="160"/>
      </w:pPr>
      <w:r>
        <w:t xml:space="preserve">This specification describes the curriculum structure approved for the 2026–2027 intake. Relative to 2025–2026, Oral Physiology and Kurdology exchanged semesters (Oral Physiology now Semester 2, Kurdology now Semester 1), Microbiology was renamed Medical Microbiology, and Infection Control &amp; Safety was replaced by Career Development &amp; Entrepreneurship in Semester 3. This revision (v1.1) additionally assigns the codes recorded in the department's 2026–2027 syllabus table to every course, including five courses that previously carried no code (Medical Terminology, Kurdology, Medical Microbiology, Oral Physiology, and Career Development &amp; Entrepreneurship), and renumbers the six Semester 3 and two Semester 4 specialist courses whose codes changed between the two source documents — see Section 10 for the full mapping. Students who entered before this intake continue under the preceding structure, which remains the authoritative reference for the teach-out cohort.</w:t>
      </w:r>
    </w:p>
    <w:p>
      <w:r>
        <w:br w:type="page"/>
      </w:r>
    </w:p>
    <w:p>
      <w:pPr>
        <w:pStyle w:val="Heading1"/>
      </w:pPr>
      <w:r>
        <w:t xml:space="preserve">Contents</w:t>
      </w:r>
    </w:p>
    <w:p>
      <w:pPr>
        <w:spacing w:after="160"/>
      </w:pPr>
      <w:r>
        <w:rPr>
          <w:i/>
          <w:iCs/>
        </w:rPr>
        <w:t xml:space="preserve">Right-click and select Update Field to populate page numbers.</w:t>
      </w:r>
    </w:p>
    <w:sdt>
      <w:sdtPr>
        <w:alias w:val="Contents"/>
      </w:sdtPr>
      <w:sdtContent>
        <w:p>
          <w:r>
            <w:fldChar w:fldCharType="begin" w:dirty="true"/>
            <w:instrText xml:space="preserve">TOC \h \o "1-2"</w:instrText>
            <w:fldChar w:fldCharType="separate"/>
          </w:r>
        </w:p>
        <w:p>
          <w:r>
            <w:fldChar w:fldCharType="end"/>
          </w:r>
        </w:p>
      </w:sdtContent>
    </w:sdt>
    <w:p>
      <w:r>
        <w:br w:type="page"/>
      </w:r>
    </w:p>
    <w:p>
      <w:pPr>
        <w:pStyle w:val="Heading1"/>
        <w:spacing w:after="200" w:before="320"/>
      </w:pPr>
      <w:r>
        <w:t xml:space="preserve">1. Department and program overview</w:t>
      </w:r>
    </w:p>
    <w:p>
      <w:pPr>
        <w:spacing w:after="160"/>
      </w:pPr>
      <w:r>
        <w:t xml:space="preserve">The Department of Dental Assisting is one of the health-science departments of Kurdistan Technical Institute (KTI), operating under the scientific standards and licensing authority of the Ministry of Higher Education and Scientific Research of the Kurdistan Region of Iraq. The department is committed to integrating comprehensive academic knowledge with practical clinical skills, preparing students for careers in dental healthcare through a supportive learning environment that encourages professional growth, ethical practice, and community service.</w:t>
      </w:r>
    </w:p>
    <w:p>
      <w:pPr>
        <w:spacing w:after="160"/>
      </w:pPr>
      <w:r>
        <w:t xml:space="preserve">The program leads to the Advanced Technical Diploma of Dental Assisting. It is a full-time, conventional, self-governing program of two years' minimum duration, organized as four semesters of sixteen weeks and totaling 120 ECTS. It is designed for students entering directly from high-school education who intend to work chairside. The graduate is a dental assistant: a practitioner who prepares patients and instruments, assists the dentist during procedures, takes dental radiographs, applies infection-control protocols, and supports the administrative operation of a dental office.</w:t>
      </w:r>
    </w:p>
    <w:p>
      <w:pPr>
        <w:spacing w:after="160"/>
      </w:pPr>
      <w:r>
        <w:t xml:space="preserve">The department maintains clinical laboratories and simulation facilities on the KTI campus, and its students gain hands-on experience through a community dental clinic and supervised clinical placement modules (Clinical Dental Assisting I and II) before their culminating Summer Training placement.</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FF2CC" w:val="clear"/>
            <w:tcMar>
              <w:top w:type="dxa" w:w="60"/>
              <w:left w:type="dxa" w:w="90"/>
              <w:bottom w:type="dxa" w:w="60"/>
              <w:right w:type="dxa" w:w="90"/>
            </w:tcMar>
            <w:vAlign w:val="center"/>
          </w:tcPr>
          <w:p>
            <w:pPr>
              <w:spacing w:after="40"/>
            </w:pPr>
            <w:r>
              <w:rPr>
                <w:b w:val="false"/>
                <w:bCs w:val="false"/>
              </w:rPr>
              <w:t xml:space="preserve">Note: The 2026–2027 curriculum revision is recorded in the department's Syllabus Update tracker (Phase 1) and its accompanying syllabus table (2027_DA.xlsx). It has not yet been documented as a full module-by-module review of the kind completed for other KTI programs; Sections 9 and 13 of this specification remain first-cut drafts flagged for departmental curriculum committee confirmation. This revision brings every course code into line with the syllabus table but does not itself constitute that module-by-module review.</w:t>
            </w:r>
          </w:p>
        </w:tc>
      </w:tr>
    </w:tbl>
    <w:p>
      <w:pPr>
        <w:pStyle w:val="Heading1"/>
        <w:spacing w:after="200" w:before="320"/>
      </w:pPr>
      <w:r>
        <w:t xml:space="preserve">2. General information</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600"/>
        <w:gridCol w:w="6400"/>
      </w:tblGrid>
      <w:tr>
        <w:tc>
          <w:tcPr>
            <w:tcW w:type="dxa" w:w="2600"/>
            <w:tcBorders>
              <w:top w:val="single" w:color="BFBFBF" w:sz="4"/>
              <w:left w:val="single" w:color="BFBFBF" w:sz="4"/>
              <w:bottom w:val="single" w:color="BFBFBF" w:sz="4"/>
              <w:right w:val="single" w:color="BFBFBF" w:sz="4"/>
            </w:tcBorders>
            <w:shd w:fill="F2F2F2" w:val="clear"/>
            <w:tcMar>
              <w:top w:type="dxa" w:w="60"/>
              <w:left w:type="dxa" w:w="90"/>
              <w:bottom w:type="dxa" w:w="60"/>
              <w:right w:type="dxa" w:w="90"/>
            </w:tcMar>
            <w:vAlign w:val="center"/>
          </w:tcPr>
          <w:p>
            <w:pPr>
              <w:spacing w:after="40"/>
            </w:pPr>
            <w:r>
              <w:rPr>
                <w:b/>
                <w:bCs/>
              </w:rPr>
              <w:t xml:space="preserve">Awarding institution</w:t>
            </w:r>
          </w:p>
        </w:tc>
        <w:tc>
          <w:tcPr>
            <w:tcW w:type="dxa" w:w="64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Kurdistan Technical Institute</w:t>
            </w:r>
          </w:p>
        </w:tc>
      </w:tr>
      <w:tr>
        <w:tc>
          <w:tcPr>
            <w:tcW w:type="dxa" w:w="2600"/>
            <w:tcBorders>
              <w:top w:val="single" w:color="BFBFBF" w:sz="4"/>
              <w:left w:val="single" w:color="BFBFBF" w:sz="4"/>
              <w:bottom w:val="single" w:color="BFBFBF" w:sz="4"/>
              <w:right w:val="single" w:color="BFBFBF" w:sz="4"/>
            </w:tcBorders>
            <w:shd w:fill="F2F2F2" w:val="clear"/>
            <w:tcMar>
              <w:top w:type="dxa" w:w="60"/>
              <w:left w:type="dxa" w:w="90"/>
              <w:bottom w:type="dxa" w:w="60"/>
              <w:right w:type="dxa" w:w="90"/>
            </w:tcMar>
            <w:vAlign w:val="center"/>
          </w:tcPr>
          <w:p>
            <w:pPr>
              <w:spacing w:after="40"/>
            </w:pPr>
            <w:r>
              <w:rPr>
                <w:b/>
                <w:bCs/>
              </w:rPr>
              <w:t xml:space="preserve">Teaching institution</w:t>
            </w:r>
          </w:p>
        </w:tc>
        <w:tc>
          <w:tcPr>
            <w:tcW w:type="dxa" w:w="64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Kurdistan Technical Institute — main campus, Sulaymaniyah, Iraq</w:t>
            </w:r>
          </w:p>
        </w:tc>
      </w:tr>
      <w:tr>
        <w:tc>
          <w:tcPr>
            <w:tcW w:type="dxa" w:w="2600"/>
            <w:tcBorders>
              <w:top w:val="single" w:color="BFBFBF" w:sz="4"/>
              <w:left w:val="single" w:color="BFBFBF" w:sz="4"/>
              <w:bottom w:val="single" w:color="BFBFBF" w:sz="4"/>
              <w:right w:val="single" w:color="BFBFBF" w:sz="4"/>
            </w:tcBorders>
            <w:shd w:fill="F2F2F2" w:val="clear"/>
            <w:tcMar>
              <w:top w:type="dxa" w:w="60"/>
              <w:left w:type="dxa" w:w="90"/>
              <w:bottom w:type="dxa" w:w="60"/>
              <w:right w:type="dxa" w:w="90"/>
            </w:tcMar>
            <w:vAlign w:val="center"/>
          </w:tcPr>
          <w:p>
            <w:pPr>
              <w:spacing w:after="40"/>
            </w:pPr>
            <w:r>
              <w:rPr>
                <w:b/>
                <w:bCs/>
              </w:rPr>
              <w:t xml:space="preserve">Program name</w:t>
            </w:r>
          </w:p>
        </w:tc>
        <w:tc>
          <w:tcPr>
            <w:tcW w:type="dxa" w:w="64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Dental Assisting</w:t>
            </w:r>
          </w:p>
        </w:tc>
      </w:tr>
      <w:tr>
        <w:tc>
          <w:tcPr>
            <w:tcW w:type="dxa" w:w="2600"/>
            <w:tcBorders>
              <w:top w:val="single" w:color="BFBFBF" w:sz="4"/>
              <w:left w:val="single" w:color="BFBFBF" w:sz="4"/>
              <w:bottom w:val="single" w:color="BFBFBF" w:sz="4"/>
              <w:right w:val="single" w:color="BFBFBF" w:sz="4"/>
            </w:tcBorders>
            <w:shd w:fill="F2F2F2" w:val="clear"/>
            <w:tcMar>
              <w:top w:type="dxa" w:w="60"/>
              <w:left w:type="dxa" w:w="90"/>
              <w:bottom w:type="dxa" w:w="60"/>
              <w:right w:type="dxa" w:w="90"/>
            </w:tcMar>
            <w:vAlign w:val="center"/>
          </w:tcPr>
          <w:p>
            <w:pPr>
              <w:spacing w:after="40"/>
            </w:pPr>
            <w:r>
              <w:rPr>
                <w:b/>
                <w:bCs/>
              </w:rPr>
              <w:t xml:space="preserve">Final award</w:t>
            </w:r>
          </w:p>
        </w:tc>
        <w:tc>
          <w:tcPr>
            <w:tcW w:type="dxa" w:w="64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Advanced Technical Diploma of Dental Assisting</w:t>
            </w:r>
          </w:p>
        </w:tc>
      </w:tr>
      <w:tr>
        <w:tc>
          <w:tcPr>
            <w:tcW w:type="dxa" w:w="2600"/>
            <w:tcBorders>
              <w:top w:val="single" w:color="BFBFBF" w:sz="4"/>
              <w:left w:val="single" w:color="BFBFBF" w:sz="4"/>
              <w:bottom w:val="single" w:color="BFBFBF" w:sz="4"/>
              <w:right w:val="single" w:color="BFBFBF" w:sz="4"/>
            </w:tcBorders>
            <w:shd w:fill="F2F2F2" w:val="clear"/>
            <w:tcMar>
              <w:top w:type="dxa" w:w="60"/>
              <w:left w:type="dxa" w:w="90"/>
              <w:bottom w:type="dxa" w:w="60"/>
              <w:right w:type="dxa" w:w="90"/>
            </w:tcMar>
            <w:vAlign w:val="center"/>
          </w:tcPr>
          <w:p>
            <w:pPr>
              <w:spacing w:after="40"/>
            </w:pPr>
            <w:r>
              <w:rPr>
                <w:b/>
                <w:bCs/>
              </w:rPr>
              <w:t xml:space="preserve">Program code</w:t>
            </w:r>
          </w:p>
        </w:tc>
        <w:tc>
          <w:tcPr>
            <w:tcW w:type="dxa" w:w="64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DA</w:t>
            </w:r>
          </w:p>
        </w:tc>
      </w:tr>
      <w:tr>
        <w:tc>
          <w:tcPr>
            <w:tcW w:type="dxa" w:w="2600"/>
            <w:tcBorders>
              <w:top w:val="single" w:color="BFBFBF" w:sz="4"/>
              <w:left w:val="single" w:color="BFBFBF" w:sz="4"/>
              <w:bottom w:val="single" w:color="BFBFBF" w:sz="4"/>
              <w:right w:val="single" w:color="BFBFBF" w:sz="4"/>
            </w:tcBorders>
            <w:shd w:fill="F2F2F2" w:val="clear"/>
            <w:tcMar>
              <w:top w:type="dxa" w:w="60"/>
              <w:left w:type="dxa" w:w="90"/>
              <w:bottom w:type="dxa" w:w="60"/>
              <w:right w:type="dxa" w:w="90"/>
            </w:tcMar>
            <w:vAlign w:val="center"/>
          </w:tcPr>
          <w:p>
            <w:pPr>
              <w:spacing w:after="40"/>
            </w:pPr>
            <w:r>
              <w:rPr>
                <w:b/>
                <w:bCs/>
              </w:rPr>
              <w:t xml:space="preserve">Qualification level (NQF/EQF)</w:t>
            </w:r>
          </w:p>
        </w:tc>
        <w:tc>
          <w:tcPr>
            <w:tcW w:type="dxa" w:w="64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First Cycle — Approved by Ministry of Higher Education and Scientific Research</w:t>
            </w:r>
          </w:p>
        </w:tc>
      </w:tr>
      <w:tr>
        <w:tc>
          <w:tcPr>
            <w:tcW w:type="dxa" w:w="2600"/>
            <w:tcBorders>
              <w:top w:val="single" w:color="BFBFBF" w:sz="4"/>
              <w:left w:val="single" w:color="BFBFBF" w:sz="4"/>
              <w:bottom w:val="single" w:color="BFBFBF" w:sz="4"/>
              <w:right w:val="single" w:color="BFBFBF" w:sz="4"/>
            </w:tcBorders>
            <w:shd w:fill="F2F2F2" w:val="clear"/>
            <w:tcMar>
              <w:top w:type="dxa" w:w="60"/>
              <w:left w:type="dxa" w:w="90"/>
              <w:bottom w:type="dxa" w:w="60"/>
              <w:right w:type="dxa" w:w="90"/>
            </w:tcMar>
            <w:vAlign w:val="center"/>
          </w:tcPr>
          <w:p>
            <w:pPr>
              <w:spacing w:after="40"/>
            </w:pPr>
            <w:r>
              <w:rPr>
                <w:b/>
                <w:bCs/>
              </w:rPr>
              <w:t xml:space="preserve">Regulatory / Accreditation body</w:t>
            </w:r>
          </w:p>
        </w:tc>
        <w:tc>
          <w:tcPr>
            <w:tcW w:type="dxa" w:w="64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Ministry of Higher Education and Scientific Research, Kurdistan Regional Government</w:t>
            </w:r>
          </w:p>
        </w:tc>
      </w:tr>
      <w:tr>
        <w:tc>
          <w:tcPr>
            <w:tcW w:type="dxa" w:w="2600"/>
            <w:tcBorders>
              <w:top w:val="single" w:color="BFBFBF" w:sz="4"/>
              <w:left w:val="single" w:color="BFBFBF" w:sz="4"/>
              <w:bottom w:val="single" w:color="BFBFBF" w:sz="4"/>
              <w:right w:val="single" w:color="BFBFBF" w:sz="4"/>
            </w:tcBorders>
            <w:shd w:fill="F2F2F2" w:val="clear"/>
            <w:tcMar>
              <w:top w:type="dxa" w:w="60"/>
              <w:left w:type="dxa" w:w="90"/>
              <w:bottom w:type="dxa" w:w="60"/>
              <w:right w:type="dxa" w:w="90"/>
            </w:tcMar>
            <w:vAlign w:val="center"/>
          </w:tcPr>
          <w:p>
            <w:pPr>
              <w:spacing w:after="40"/>
            </w:pPr>
            <w:r>
              <w:rPr>
                <w:b/>
                <w:bCs/>
              </w:rPr>
              <w:t xml:space="preserve">Language of instruction</w:t>
            </w:r>
          </w:p>
        </w:tc>
        <w:tc>
          <w:tcPr>
            <w:tcW w:type="dxa" w:w="64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English</w:t>
            </w:r>
          </w:p>
        </w:tc>
      </w:tr>
      <w:tr>
        <w:tc>
          <w:tcPr>
            <w:tcW w:type="dxa" w:w="2600"/>
            <w:tcBorders>
              <w:top w:val="single" w:color="BFBFBF" w:sz="4"/>
              <w:left w:val="single" w:color="BFBFBF" w:sz="4"/>
              <w:bottom w:val="single" w:color="BFBFBF" w:sz="4"/>
              <w:right w:val="single" w:color="BFBFBF" w:sz="4"/>
            </w:tcBorders>
            <w:shd w:fill="F2F2F2" w:val="clear"/>
            <w:tcMar>
              <w:top w:type="dxa" w:w="60"/>
              <w:left w:type="dxa" w:w="90"/>
              <w:bottom w:type="dxa" w:w="60"/>
              <w:right w:type="dxa" w:w="90"/>
            </w:tcMar>
            <w:vAlign w:val="center"/>
          </w:tcPr>
          <w:p>
            <w:pPr>
              <w:spacing w:after="40"/>
            </w:pPr>
            <w:r>
              <w:rPr>
                <w:b/>
                <w:bCs/>
              </w:rPr>
              <w:t xml:space="preserve">Mode of study / operation</w:t>
            </w:r>
          </w:p>
        </w:tc>
        <w:tc>
          <w:tcPr>
            <w:tcW w:type="dxa" w:w="64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Conventional; self-governing; full time</w:t>
            </w:r>
          </w:p>
        </w:tc>
      </w:tr>
      <w:tr>
        <w:tc>
          <w:tcPr>
            <w:tcW w:type="dxa" w:w="2600"/>
            <w:tcBorders>
              <w:top w:val="single" w:color="BFBFBF" w:sz="4"/>
              <w:left w:val="single" w:color="BFBFBF" w:sz="4"/>
              <w:bottom w:val="single" w:color="BFBFBF" w:sz="4"/>
              <w:right w:val="single" w:color="BFBFBF" w:sz="4"/>
            </w:tcBorders>
            <w:shd w:fill="F2F2F2" w:val="clear"/>
            <w:tcMar>
              <w:top w:type="dxa" w:w="60"/>
              <w:left w:type="dxa" w:w="90"/>
              <w:bottom w:type="dxa" w:w="60"/>
              <w:right w:type="dxa" w:w="90"/>
            </w:tcMar>
            <w:vAlign w:val="center"/>
          </w:tcPr>
          <w:p>
            <w:pPr>
              <w:spacing w:after="40"/>
            </w:pPr>
            <w:r>
              <w:rPr>
                <w:b/>
                <w:bCs/>
              </w:rPr>
              <w:t xml:space="preserve">Duration</w:t>
            </w:r>
          </w:p>
        </w:tc>
        <w:tc>
          <w:tcPr>
            <w:tcW w:type="dxa" w:w="64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Minimum 2 years (4 semesters); maximum 4 years (8 semesters); 16 weeks per semester</w:t>
            </w:r>
          </w:p>
        </w:tc>
      </w:tr>
      <w:tr>
        <w:tc>
          <w:tcPr>
            <w:tcW w:type="dxa" w:w="2600"/>
            <w:tcBorders>
              <w:top w:val="single" w:color="BFBFBF" w:sz="4"/>
              <w:left w:val="single" w:color="BFBFBF" w:sz="4"/>
              <w:bottom w:val="single" w:color="BFBFBF" w:sz="4"/>
              <w:right w:val="single" w:color="BFBFBF" w:sz="4"/>
            </w:tcBorders>
            <w:shd w:fill="F2F2F2" w:val="clear"/>
            <w:tcMar>
              <w:top w:type="dxa" w:w="60"/>
              <w:left w:type="dxa" w:w="90"/>
              <w:bottom w:type="dxa" w:w="60"/>
              <w:right w:type="dxa" w:w="90"/>
            </w:tcMar>
            <w:vAlign w:val="center"/>
          </w:tcPr>
          <w:p>
            <w:pPr>
              <w:spacing w:after="40"/>
            </w:pPr>
            <w:r>
              <w:rPr>
                <w:b/>
                <w:bCs/>
              </w:rPr>
              <w:t xml:space="preserve">Intake</w:t>
            </w:r>
          </w:p>
        </w:tc>
        <w:tc>
          <w:tcPr>
            <w:tcW w:type="dxa" w:w="64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Annual</w:t>
            </w:r>
          </w:p>
        </w:tc>
      </w:tr>
      <w:tr>
        <w:tc>
          <w:tcPr>
            <w:tcW w:type="dxa" w:w="2600"/>
            <w:tcBorders>
              <w:top w:val="single" w:color="BFBFBF" w:sz="4"/>
              <w:left w:val="single" w:color="BFBFBF" w:sz="4"/>
              <w:bottom w:val="single" w:color="BFBFBF" w:sz="4"/>
              <w:right w:val="single" w:color="BFBFBF" w:sz="4"/>
            </w:tcBorders>
            <w:shd w:fill="F2F2F2" w:val="clear"/>
            <w:tcMar>
              <w:top w:type="dxa" w:w="60"/>
              <w:left w:type="dxa" w:w="90"/>
              <w:bottom w:type="dxa" w:w="60"/>
              <w:right w:type="dxa" w:w="90"/>
            </w:tcMar>
            <w:vAlign w:val="center"/>
          </w:tcPr>
          <w:p>
            <w:pPr>
              <w:spacing w:after="40"/>
            </w:pPr>
            <w:r>
              <w:rPr>
                <w:b/>
                <w:bCs/>
              </w:rPr>
              <w:t xml:space="preserve">ECTS</w:t>
            </w:r>
          </w:p>
        </w:tc>
        <w:tc>
          <w:tcPr>
            <w:tcW w:type="dxa" w:w="64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120 ECTS</w:t>
            </w:r>
          </w:p>
        </w:tc>
      </w:tr>
    </w:tbl>
    <w:p>
      <w:pPr>
        <w:pStyle w:val="Heading1"/>
        <w:spacing w:after="200" w:before="320"/>
      </w:pPr>
      <w:r>
        <w:t xml:space="preserve">3. Program structure and credit framework</w:t>
      </w:r>
    </w:p>
    <w:p>
      <w:pPr>
        <w:pStyle w:val="Heading2"/>
        <w:spacing w:after="160" w:before="240"/>
      </w:pPr>
      <w:r>
        <w:t xml:space="preserve">3.1 Credit and workload</w:t>
      </w:r>
    </w:p>
    <w:p>
      <w:pPr>
        <w:spacing w:after="160"/>
      </w:pPr>
      <w:r>
        <w:t xml:space="preserve">The program uses ECTS credits. The program totals 120 ECTS, distributed as 30 ECTS in each of the four semesters. Weekly contact hours (theory, practical and clinical) are set out per course in the Course menu (Section 10); the balance of the workload is met through preparation, clinical reporting, directed reading and assessment.</w:t>
      </w:r>
    </w:p>
    <w:p>
      <w:pPr>
        <w:pStyle w:val="Heading2"/>
        <w:spacing w:after="160" w:before="240"/>
      </w:pPr>
      <w:r>
        <w:t xml:space="preserve">3.2 Course classification</w:t>
      </w:r>
    </w:p>
    <w:p>
      <w:pPr>
        <w:spacing w:after="160"/>
      </w:pPr>
      <w:r>
        <w:t xml:space="preserve">Courses fall into three groups: institute courses of general formation taken by students across KTI; institute/degree-level courses shared with other departments; and department (core) courses specific to dental assisting. Classification and credit shares below are computed directly from the module-category field of the 2026–2027 curriculum table (2027_DA.xlsx) and are unchanged by the code-numbering revision in this version.</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5400"/>
        <w:gridCol w:w="1800"/>
        <w:gridCol w:w="1800"/>
      </w:tblGrid>
      <w:tr>
        <w:trPr>
          <w:tblHeader/>
        </w:trPr>
        <w:tc>
          <w:tcPr>
            <w:tcW w:type="dxa" w:w="5400"/>
            <w:tcBorders>
              <w:top w:val="single" w:color="BFBFBF" w:sz="4"/>
              <w:left w:val="single" w:color="BFBFBF" w:sz="4"/>
              <w:bottom w:val="single" w:color="BFBFBF" w:sz="4"/>
              <w:right w:val="single" w:color="BFBFBF" w:sz="4"/>
            </w:tcBorders>
            <w:shd w:fill="D9D9D9" w:val="clear"/>
            <w:tcMar>
              <w:top w:type="dxa" w:w="60"/>
              <w:left w:type="dxa" w:w="90"/>
              <w:bottom w:type="dxa" w:w="60"/>
              <w:right w:type="dxa" w:w="90"/>
            </w:tcMar>
            <w:vAlign w:val="center"/>
          </w:tcPr>
          <w:p>
            <w:pPr>
              <w:spacing w:after="40"/>
            </w:pPr>
            <w:r>
              <w:rPr>
                <w:b/>
                <w:bCs/>
              </w:rPr>
              <w:t xml:space="preserve">Classification</w:t>
            </w:r>
          </w:p>
        </w:tc>
        <w:tc>
          <w:tcPr>
            <w:tcW w:type="dxa" w:w="1800"/>
            <w:tcBorders>
              <w:top w:val="single" w:color="BFBFBF" w:sz="4"/>
              <w:left w:val="single" w:color="BFBFBF" w:sz="4"/>
              <w:bottom w:val="single" w:color="BFBFBF" w:sz="4"/>
              <w:right w:val="single" w:color="BFBFBF" w:sz="4"/>
            </w:tcBorders>
            <w:shd w:fill="D9D9D9" w:val="clear"/>
            <w:tcMar>
              <w:top w:type="dxa" w:w="60"/>
              <w:left w:type="dxa" w:w="90"/>
              <w:bottom w:type="dxa" w:w="60"/>
              <w:right w:type="dxa" w:w="90"/>
            </w:tcMar>
            <w:vAlign w:val="center"/>
          </w:tcPr>
          <w:p>
            <w:pPr>
              <w:spacing w:after="40"/>
            </w:pPr>
            <w:r>
              <w:rPr>
                <w:b/>
                <w:bCs/>
              </w:rPr>
              <w:t xml:space="preserve">Credits (ECTS)</w:t>
            </w:r>
          </w:p>
        </w:tc>
        <w:tc>
          <w:tcPr>
            <w:tcW w:type="dxa" w:w="1800"/>
            <w:tcBorders>
              <w:top w:val="single" w:color="BFBFBF" w:sz="4"/>
              <w:left w:val="single" w:color="BFBFBF" w:sz="4"/>
              <w:bottom w:val="single" w:color="BFBFBF" w:sz="4"/>
              <w:right w:val="single" w:color="BFBFBF" w:sz="4"/>
            </w:tcBorders>
            <w:shd w:fill="D9D9D9" w:val="clear"/>
            <w:tcMar>
              <w:top w:type="dxa" w:w="60"/>
              <w:left w:type="dxa" w:w="90"/>
              <w:bottom w:type="dxa" w:w="60"/>
              <w:right w:type="dxa" w:w="90"/>
            </w:tcMar>
            <w:vAlign w:val="center"/>
          </w:tcPr>
          <w:p>
            <w:pPr>
              <w:spacing w:after="40"/>
            </w:pPr>
            <w:r>
              <w:rPr>
                <w:b/>
                <w:bCs/>
              </w:rPr>
              <w:t xml:space="preserve">Percentage</w:t>
            </w:r>
          </w:p>
        </w:tc>
      </w:tr>
      <w:tr>
        <w:tc>
          <w:tcPr>
            <w:tcW w:type="dxa" w:w="54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Institute courses — general (Kurdology, Academic Debate, Computer Applications, Career Development &amp; Entrepreneurship, Summer Training)</w:t>
            </w:r>
          </w:p>
        </w:tc>
        <w:tc>
          <w:tcPr>
            <w:tcW w:type="dxa" w:w="1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19</w:t>
            </w:r>
          </w:p>
        </w:tc>
        <w:tc>
          <w:tcPr>
            <w:tcW w:type="dxa" w:w="1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15.8%</w:t>
            </w:r>
          </w:p>
        </w:tc>
      </w:tr>
      <w:tr>
        <w:tc>
          <w:tcPr>
            <w:tcW w:type="dxa" w:w="54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Degree-level courses (Medical Terminology, Medical Microbiology, Pharmacology &amp; Pain Management, Orthodontics Assisting, Psychology)</w:t>
            </w:r>
          </w:p>
        </w:tc>
        <w:tc>
          <w:tcPr>
            <w:tcW w:type="dxa" w:w="1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27</w:t>
            </w:r>
          </w:p>
        </w:tc>
        <w:tc>
          <w:tcPr>
            <w:tcW w:type="dxa" w:w="1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22.5%</w:t>
            </w:r>
          </w:p>
        </w:tc>
      </w:tr>
      <w:tr>
        <w:tc>
          <w:tcPr>
            <w:tcW w:type="dxa" w:w="54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Department (core) courses — Dental Assisting</w:t>
            </w:r>
          </w:p>
        </w:tc>
        <w:tc>
          <w:tcPr>
            <w:tcW w:type="dxa" w:w="1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74</w:t>
            </w:r>
          </w:p>
        </w:tc>
        <w:tc>
          <w:tcPr>
            <w:tcW w:type="dxa" w:w="1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61.7%</w:t>
            </w:r>
          </w:p>
        </w:tc>
      </w:tr>
      <w:tr>
        <w:tc>
          <w:tcPr>
            <w:tcW w:type="dxa" w:w="54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Total</w:t>
            </w:r>
          </w:p>
        </w:tc>
        <w:tc>
          <w:tcPr>
            <w:tcW w:type="dxa" w:w="1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120</w:t>
            </w:r>
          </w:p>
        </w:tc>
        <w:tc>
          <w:tcPr>
            <w:tcW w:type="dxa" w:w="1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100%</w:t>
            </w:r>
          </w:p>
        </w:tc>
      </w:tr>
    </w:tbl>
    <w:p>
      <w:pPr>
        <w:spacing w:after="160"/>
      </w:pPr>
      <w:r>
        <w:rPr>
          <w:i/>
          <w:iCs/>
        </w:rPr>
        <w:t xml:space="preserve">Summer Training is a mandatory, non-credit-bearing requirement recorded as Pass or Fail. It carries 0 ECTS and is included in the institute group without contributing credit.</w:t>
      </w:r>
    </w:p>
    <w:p>
      <w:pPr>
        <w:pStyle w:val="Heading2"/>
        <w:spacing w:after="160" w:before="240"/>
      </w:pPr>
      <w:r>
        <w:t xml:space="preserve">3.3 Progression</w:t>
      </w:r>
    </w:p>
    <w:p>
      <w:pPr>
        <w:spacing w:after="160"/>
      </w:pPr>
      <w:r>
        <w:t xml:space="preserve">The program is sequential. Semester 1 establishes dental anatomy, instrumentation and general/institute formation. Semester 2 adds the diagnostic and materials foundation — oral pathology, dental materials, microbiology and oral physiology. Semester 3 opens direct clinical assisting — emergency response, pharmacology, and the first supervised clinical placement, alongside pediatric, preventive and orthodontic assisting. Semester 4 completes the diploma with dental office management, radiography, oral &amp; maxillofacial surgery assisting and the second clinical placement, followed by Summer Training.</w:t>
      </w:r>
    </w:p>
    <w:p>
      <w:pPr>
        <w:pStyle w:val="Heading1"/>
        <w:spacing w:after="200" w:before="320"/>
      </w:pPr>
      <w:r>
        <w:t xml:space="preserve">4. Award and graduation requirements</w:t>
      </w:r>
    </w:p>
    <w:p>
      <w:pPr>
        <w:pStyle w:val="ListParagraph"/>
        <w:numPr>
          <w:ilvl w:val="0"/>
          <w:numId w:val="1"/>
        </w:numPr>
        <w:spacing w:after="100"/>
      </w:pPr>
      <w:r>
        <w:t xml:space="preserve">Accumulate 120 ECTS by passing every course listed in the course menu at Section 10.</w:t>
      </w:r>
    </w:p>
    <w:p>
      <w:pPr>
        <w:pStyle w:val="ListParagraph"/>
        <w:numPr>
          <w:ilvl w:val="0"/>
          <w:numId w:val="1"/>
        </w:numPr>
        <w:spacing w:after="100"/>
      </w:pPr>
      <w:r>
        <w:t xml:space="preserve">Achieve a minimum cumulative grade point average of 2.0.</w:t>
      </w:r>
    </w:p>
    <w:p>
      <w:pPr>
        <w:pStyle w:val="ListParagraph"/>
        <w:numPr>
          <w:ilvl w:val="0"/>
          <w:numId w:val="1"/>
        </w:numPr>
        <w:spacing w:after="100"/>
      </w:pPr>
      <w:r>
        <w:t xml:space="preserve">Pass both the theory and the clinical/practical component of every module that carries one, in accordance with the module assessment scheme.</w:t>
      </w:r>
    </w:p>
    <w:p>
      <w:pPr>
        <w:pStyle w:val="ListParagraph"/>
        <w:numPr>
          <w:ilvl w:val="0"/>
          <w:numId w:val="1"/>
        </w:numPr>
        <w:spacing w:after="100"/>
      </w:pPr>
      <w:r>
        <w:t xml:space="preserve">Complete and pass Summer Training as specified below.</w:t>
      </w:r>
    </w:p>
    <w:p>
      <w:pPr>
        <w:pStyle w:val="Heading2"/>
        <w:spacing w:after="160" w:before="240"/>
      </w:pPr>
      <w:r>
        <w:t xml:space="preserve">4.1 Summer Training (DA245)</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200"/>
        <w:gridCol w:w="6800"/>
      </w:tblGrid>
      <w:tr>
        <w:tc>
          <w:tcPr>
            <w:tcW w:type="dxa" w:w="2200"/>
            <w:tcBorders>
              <w:top w:val="single" w:color="BFBFBF" w:sz="4"/>
              <w:left w:val="single" w:color="BFBFBF" w:sz="4"/>
              <w:bottom w:val="single" w:color="BFBFBF" w:sz="4"/>
              <w:right w:val="single" w:color="BFBFBF" w:sz="4"/>
            </w:tcBorders>
            <w:shd w:fill="F2F2F2" w:val="clear"/>
            <w:tcMar>
              <w:top w:type="dxa" w:w="60"/>
              <w:left w:type="dxa" w:w="90"/>
              <w:bottom w:type="dxa" w:w="60"/>
              <w:right w:type="dxa" w:w="90"/>
            </w:tcMar>
            <w:vAlign w:val="center"/>
          </w:tcPr>
          <w:p>
            <w:pPr>
              <w:spacing w:after="40"/>
            </w:pPr>
            <w:r>
              <w:rPr>
                <w:b/>
                <w:bCs/>
              </w:rPr>
              <w:t xml:space="preserve">Nature</w:t>
            </w:r>
          </w:p>
        </w:tc>
        <w:tc>
          <w:tcPr>
            <w:tcW w:type="dxa" w:w="6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Supervised placement in an approved dental setting. Students are assigned to host sites with reference to the department's approved placement arrangements.</w:t>
            </w:r>
          </w:p>
        </w:tc>
      </w:tr>
      <w:tr>
        <w:tc>
          <w:tcPr>
            <w:tcW w:type="dxa" w:w="2200"/>
            <w:tcBorders>
              <w:top w:val="single" w:color="BFBFBF" w:sz="4"/>
              <w:left w:val="single" w:color="BFBFBF" w:sz="4"/>
              <w:bottom w:val="single" w:color="BFBFBF" w:sz="4"/>
              <w:right w:val="single" w:color="BFBFBF" w:sz="4"/>
            </w:tcBorders>
            <w:shd w:fill="F2F2F2" w:val="clear"/>
            <w:tcMar>
              <w:top w:type="dxa" w:w="60"/>
              <w:left w:type="dxa" w:w="90"/>
              <w:bottom w:type="dxa" w:w="60"/>
              <w:right w:type="dxa" w:w="90"/>
            </w:tcMar>
            <w:vAlign w:val="center"/>
          </w:tcPr>
          <w:p>
            <w:pPr>
              <w:spacing w:after="40"/>
            </w:pPr>
            <w:r>
              <w:rPr>
                <w:b/>
                <w:bCs/>
              </w:rPr>
              <w:t xml:space="preserve">Timing</w:t>
            </w:r>
          </w:p>
        </w:tc>
        <w:tc>
          <w:tcPr>
            <w:tcW w:type="dxa" w:w="6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Following the Semester 4 examinations; does not run alongside taught modules.</w:t>
            </w:r>
          </w:p>
        </w:tc>
      </w:tr>
      <w:tr>
        <w:tc>
          <w:tcPr>
            <w:tcW w:type="dxa" w:w="2200"/>
            <w:tcBorders>
              <w:top w:val="single" w:color="BFBFBF" w:sz="4"/>
              <w:left w:val="single" w:color="BFBFBF" w:sz="4"/>
              <w:bottom w:val="single" w:color="BFBFBF" w:sz="4"/>
              <w:right w:val="single" w:color="BFBFBF" w:sz="4"/>
            </w:tcBorders>
            <w:shd w:fill="F2F2F2" w:val="clear"/>
            <w:tcMar>
              <w:top w:type="dxa" w:w="60"/>
              <w:left w:type="dxa" w:w="90"/>
              <w:bottom w:type="dxa" w:w="60"/>
              <w:right w:type="dxa" w:w="90"/>
            </w:tcMar>
            <w:vAlign w:val="center"/>
          </w:tcPr>
          <w:p>
            <w:pPr>
              <w:spacing w:after="40"/>
            </w:pPr>
            <w:r>
              <w:rPr>
                <w:b/>
                <w:bCs/>
              </w:rPr>
              <w:t xml:space="preserve">Duration</w:t>
            </w:r>
          </w:p>
        </w:tc>
        <w:tc>
          <w:tcPr>
            <w:tcW w:type="dxa" w:w="6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Delivered as 3 clinical/practical hours per week in the curriculum table; total placement duration to be confirmed and published by the department.</w:t>
            </w:r>
          </w:p>
        </w:tc>
      </w:tr>
      <w:tr>
        <w:tc>
          <w:tcPr>
            <w:tcW w:type="dxa" w:w="2200"/>
            <w:tcBorders>
              <w:top w:val="single" w:color="BFBFBF" w:sz="4"/>
              <w:left w:val="single" w:color="BFBFBF" w:sz="4"/>
              <w:bottom w:val="single" w:color="BFBFBF" w:sz="4"/>
              <w:right w:val="single" w:color="BFBFBF" w:sz="4"/>
            </w:tcBorders>
            <w:shd w:fill="F2F2F2" w:val="clear"/>
            <w:tcMar>
              <w:top w:type="dxa" w:w="60"/>
              <w:left w:type="dxa" w:w="90"/>
              <w:bottom w:type="dxa" w:w="60"/>
              <w:right w:type="dxa" w:w="90"/>
            </w:tcMar>
            <w:vAlign w:val="center"/>
          </w:tcPr>
          <w:p>
            <w:pPr>
              <w:spacing w:after="40"/>
            </w:pPr>
            <w:r>
              <w:rPr>
                <w:b/>
                <w:bCs/>
              </w:rPr>
              <w:t xml:space="preserve">Credit</w:t>
            </w:r>
          </w:p>
        </w:tc>
        <w:tc>
          <w:tcPr>
            <w:tcW w:type="dxa" w:w="6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0 ECTS. Mandatory and non-credit-bearing; recorded as Pass or Fail.</w:t>
            </w:r>
          </w:p>
        </w:tc>
      </w:tr>
      <w:tr>
        <w:tc>
          <w:tcPr>
            <w:tcW w:type="dxa" w:w="2200"/>
            <w:tcBorders>
              <w:top w:val="single" w:color="BFBFBF" w:sz="4"/>
              <w:left w:val="single" w:color="BFBFBF" w:sz="4"/>
              <w:bottom w:val="single" w:color="BFBFBF" w:sz="4"/>
              <w:right w:val="single" w:color="BFBFBF" w:sz="4"/>
            </w:tcBorders>
            <w:shd w:fill="F2F2F2" w:val="clear"/>
            <w:tcMar>
              <w:top w:type="dxa" w:w="60"/>
              <w:left w:type="dxa" w:w="90"/>
              <w:bottom w:type="dxa" w:w="60"/>
              <w:right w:type="dxa" w:w="90"/>
            </w:tcMar>
            <w:vAlign w:val="center"/>
          </w:tcPr>
          <w:p>
            <w:pPr>
              <w:spacing w:after="40"/>
            </w:pPr>
            <w:r>
              <w:rPr>
                <w:b/>
                <w:bCs/>
              </w:rPr>
              <w:t xml:space="preserve">How a pass is determined</w:t>
            </w:r>
          </w:p>
        </w:tc>
        <w:tc>
          <w:tcPr>
            <w:tcW w:type="dxa" w:w="6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A pass requires a countersigned training logbook and a final training report submitted to the department; both must be judged satisfactory, or the placement must be repeated or extended.</w:t>
            </w:r>
          </w:p>
        </w:tc>
      </w:tr>
      <w:tr>
        <w:tc>
          <w:tcPr>
            <w:tcW w:type="dxa" w:w="2200"/>
            <w:tcBorders>
              <w:top w:val="single" w:color="BFBFBF" w:sz="4"/>
              <w:left w:val="single" w:color="BFBFBF" w:sz="4"/>
              <w:bottom w:val="single" w:color="BFBFBF" w:sz="4"/>
              <w:right w:val="single" w:color="BFBFBF" w:sz="4"/>
            </w:tcBorders>
            <w:shd w:fill="FFF2CC" w:val="clear"/>
            <w:tcMar>
              <w:top w:type="dxa" w:w="60"/>
              <w:left w:type="dxa" w:w="90"/>
              <w:bottom w:type="dxa" w:w="60"/>
              <w:right w:type="dxa" w:w="90"/>
            </w:tcMar>
            <w:vAlign w:val="center"/>
          </w:tcPr>
          <w:p>
            <w:pPr>
              <w:spacing w:after="40"/>
            </w:pPr>
            <w:r>
              <w:rPr>
                <w:b/>
                <w:bCs/>
              </w:rPr>
              <w:t xml:space="preserve">Note</w:t>
            </w:r>
          </w:p>
        </w:tc>
        <w:tc>
          <w:tcPr>
            <w:tcW w:type="dxa" w:w="6800"/>
            <w:tcBorders>
              <w:top w:val="single" w:color="BFBFBF" w:sz="4"/>
              <w:left w:val="single" w:color="BFBFBF" w:sz="4"/>
              <w:bottom w:val="single" w:color="BFBFBF" w:sz="4"/>
              <w:right w:val="single" w:color="BFBFBF" w:sz="4"/>
            </w:tcBorders>
            <w:shd w:fill="FFF2CC" w:val="clear"/>
            <w:tcMar>
              <w:top w:type="dxa" w:w="60"/>
              <w:left w:type="dxa" w:w="90"/>
              <w:bottom w:type="dxa" w:w="60"/>
              <w:right w:type="dxa" w:w="90"/>
            </w:tcMar>
            <w:vAlign w:val="center"/>
          </w:tcPr>
          <w:p>
            <w:pPr>
              <w:spacing w:after="40"/>
            </w:pPr>
            <w:r>
              <w:rPr>
                <w:b w:val="false"/>
                <w:bCs w:val="false"/>
              </w:rPr>
              <w:t xml:space="preserve">Two unresolved data-quality issues carry over from the 2026–2027 syllabus table and should be corrected by the department before this section is finalized:</w:t>
            </w:r>
          </w:p>
          <w:p>
            <w:pPr>
              <w:spacing w:after="40"/>
            </w:pPr>
            <w:r>
              <w:rPr>
                <w:b w:val="false"/>
                <w:bCs w:val="false"/>
              </w:rPr>
              <w:t xml:space="preserve">1. The syllabus table lists the prerequisite for this line as "DA248" (previously "DA125" in the department's prior planning sheet). Neither code corresponds to any course in the current or previous module list.</w:t>
            </w:r>
          </w:p>
          <w:p>
            <w:pPr>
              <w:spacing w:after="40"/>
            </w:pPr>
            <w:r>
              <w:rPr>
                <w:b w:val="false"/>
                <w:bCs w:val="false"/>
              </w:rPr>
              <w:t xml:space="preserve">2. The syllabus table's Subject column labels this same line "Career Development &amp; Entrepreneurship" — identical to the credit-bearing Semester 3 course now coded DA2312 — rather than "Summer Training"/"Internship". Given that this line carries 0 ECTS, 3 clinic hours only, and Pass/Fail grading (matching every other KTI department's capstone placement pattern), it has been treated here as the Summer Training placement, consistent with the interpretation already adopted in the prior version of this specification. The department should confirm the intended subject name for code DA245 at the next curriculum review.</w:t>
            </w:r>
          </w:p>
        </w:tc>
      </w:tr>
    </w:tbl>
    <w:p>
      <w:pPr>
        <w:pStyle w:val="Heading1"/>
        <w:spacing w:after="200" w:before="320"/>
      </w:pPr>
      <w:r>
        <w:t xml:space="preserve">5. Entry requirements</w:t>
      </w:r>
    </w:p>
    <w:p>
      <w:pPr>
        <w:spacing w:after="160"/>
      </w:pPr>
      <w:r>
        <w:t xml:space="preserve">Admission is competitive and administered through the central admission process of the Ministry of Higher Education and Scientific Research. The minimum qualifications are:</w:t>
      </w:r>
    </w:p>
    <w:p>
      <w:pPr>
        <w:pStyle w:val="ListParagraph"/>
        <w:numPr>
          <w:ilvl w:val="0"/>
          <w:numId w:val="1"/>
        </w:numPr>
        <w:spacing w:after="100"/>
      </w:pPr>
      <w:r>
        <w:t xml:space="preserve">A Kurdistan Baccalaureate High School Certificate (scientific stream), or a recognized equivalent, with a minimum aggregate of 50% to enter the competition.</w:t>
      </w:r>
    </w:p>
    <w:p>
      <w:pPr>
        <w:pStyle w:val="ListParagraph"/>
        <w:numPr>
          <w:ilvl w:val="0"/>
          <w:numId w:val="1"/>
        </w:numPr>
        <w:spacing w:after="100"/>
      </w:pPr>
      <w:r>
        <w:t xml:space="preserve">A Kurdistan Baccalaureate Vocational School Certificate, or a recognized equivalent, with a minimum aggregate of 57% to enter the competition.</w:t>
      </w:r>
    </w:p>
    <w:p>
      <w:pPr>
        <w:pStyle w:val="ListParagraph"/>
        <w:numPr>
          <w:ilvl w:val="0"/>
          <w:numId w:val="1"/>
        </w:numPr>
        <w:spacing w:after="100"/>
      </w:pPr>
      <w:r>
        <w:t xml:space="preserve">Satisfaction of any additional general conditions and prerequisites set by the Institute for the program.</w:t>
      </w:r>
    </w:p>
    <w:p>
      <w:pPr>
        <w:spacing w:after="160"/>
      </w:pPr>
      <w:r>
        <w:t xml:space="preserve">Entry requirements are subject to annual amendment by the Ministry of Higher Education and Scientific Research in the Kurdistan Region of Iraq, and the thresholds above are superseded by any subsequent ministerial instruction.</w:t>
      </w:r>
    </w:p>
    <w:p>
      <w:pPr>
        <w:pStyle w:val="Heading1"/>
        <w:spacing w:after="200" w:before="320"/>
      </w:pPr>
      <w:r>
        <w:t xml:space="preserve">6. Program Educational Objectives (PEOs)</w:t>
      </w:r>
    </w:p>
    <w:p>
      <w:pPr>
        <w:spacing w:after="160"/>
      </w:pPr>
      <w:r>
        <w:t xml:space="preserve">Program Educational Objectives describe what graduates of this program should be achieving several years after graduation, once they have accumulated working experience.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000"/>
        <w:gridCol w:w="8000"/>
      </w:tblGrid>
      <w:tr>
        <w:trPr>
          <w:tblHeader/>
        </w:trPr>
        <w:tc>
          <w:tcPr>
            <w:tcW w:type="dxa" w:w="1000"/>
            <w:tcBorders>
              <w:top w:val="single" w:color="BFBFBF" w:sz="4"/>
              <w:left w:val="single" w:color="BFBFBF" w:sz="4"/>
              <w:bottom w:val="single" w:color="BFBFBF" w:sz="4"/>
              <w:right w:val="single" w:color="BFBFBF" w:sz="4"/>
            </w:tcBorders>
            <w:shd w:fill="D9D9D9" w:val="clear"/>
            <w:tcMar>
              <w:top w:type="dxa" w:w="60"/>
              <w:left w:type="dxa" w:w="90"/>
              <w:bottom w:type="dxa" w:w="60"/>
              <w:right w:type="dxa" w:w="90"/>
            </w:tcMar>
            <w:vAlign w:val="center"/>
          </w:tcPr>
          <w:p>
            <w:pPr>
              <w:spacing w:after="40"/>
            </w:pPr>
            <w:r>
              <w:rPr>
                <w:b/>
                <w:bCs/>
              </w:rPr>
              <w:t xml:space="preserve">Code</w:t>
            </w:r>
          </w:p>
        </w:tc>
        <w:tc>
          <w:tcPr>
            <w:tcW w:type="dxa" w:w="8000"/>
            <w:tcBorders>
              <w:top w:val="single" w:color="BFBFBF" w:sz="4"/>
              <w:left w:val="single" w:color="BFBFBF" w:sz="4"/>
              <w:bottom w:val="single" w:color="BFBFBF" w:sz="4"/>
              <w:right w:val="single" w:color="BFBFBF" w:sz="4"/>
            </w:tcBorders>
            <w:shd w:fill="D9D9D9" w:val="clear"/>
            <w:tcMar>
              <w:top w:type="dxa" w:w="60"/>
              <w:left w:type="dxa" w:w="90"/>
              <w:bottom w:type="dxa" w:w="60"/>
              <w:right w:type="dxa" w:w="90"/>
            </w:tcMar>
            <w:vAlign w:val="center"/>
          </w:tcPr>
          <w:p>
            <w:pPr>
              <w:spacing w:after="40"/>
            </w:pPr>
            <w:r>
              <w:rPr>
                <w:b/>
                <w:bCs/>
              </w:rPr>
              <w:t xml:space="preserve">Educational Objective</w:t>
            </w:r>
          </w:p>
        </w:tc>
      </w:tr>
      <w:tr>
        <w:tc>
          <w:tcPr>
            <w:tcW w:type="dxa" w:w="10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PEO1</w:t>
            </w:r>
          </w:p>
        </w:tc>
        <w:tc>
          <w:tcPr>
            <w:tcW w:type="dxa" w:w="80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Professional Competence: Graduates are skilled across the range of dental assisting practice — patient care, radiography, infection control, and chairside assistance — prepared to work in dental offices, clinics, and other healthcare settings.</w:t>
            </w:r>
          </w:p>
        </w:tc>
      </w:tr>
      <w:tr>
        <w:tc>
          <w:tcPr>
            <w:tcW w:type="dxa" w:w="10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PEO2</w:t>
            </w:r>
          </w:p>
        </w:tc>
        <w:tc>
          <w:tcPr>
            <w:tcW w:type="dxa" w:w="80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Lifelong Learning and Advancement: Graduates pursue continued professional development and adapt to evolving technologies and practices in dental healthcare.</w:t>
            </w:r>
          </w:p>
        </w:tc>
      </w:tr>
      <w:tr>
        <w:tc>
          <w:tcPr>
            <w:tcW w:type="dxa" w:w="10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PEO3</w:t>
            </w:r>
          </w:p>
        </w:tc>
        <w:tc>
          <w:tcPr>
            <w:tcW w:type="dxa" w:w="80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Ethical and Legal Responsibility: Graduates adhere to the ethical principles and legal requirements of the dental assisting profession, upholding patient privacy and high standards of care.</w:t>
            </w:r>
          </w:p>
        </w:tc>
      </w:tr>
      <w:tr>
        <w:tc>
          <w:tcPr>
            <w:tcW w:type="dxa" w:w="10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PEO4</w:t>
            </w:r>
          </w:p>
        </w:tc>
        <w:tc>
          <w:tcPr>
            <w:tcW w:type="dxa" w:w="80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Communication and Teamwork: Graduates communicate effectively with patients, dentists, and the wider healthcare team, contributing to a collaborative and respectful workplace.</w:t>
            </w:r>
          </w:p>
        </w:tc>
      </w:tr>
      <w:tr>
        <w:tc>
          <w:tcPr>
            <w:tcW w:type="dxa" w:w="10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PEO5</w:t>
            </w:r>
          </w:p>
        </w:tc>
        <w:tc>
          <w:tcPr>
            <w:tcW w:type="dxa" w:w="80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Community Service and Health Promotion: Graduates engage in community service and oral-health promotion, supporting access to dental care across the population.</w:t>
            </w:r>
          </w:p>
        </w:tc>
      </w:tr>
    </w:tbl>
    <w:p>
      <w:pPr>
        <w:pStyle w:val="Heading2"/>
        <w:spacing w:after="160" w:before="240"/>
      </w:pPr>
      <w:r>
        <w:t xml:space="preserve">6.1 Review of the Program Educational Objectives</w:t>
      </w:r>
    </w:p>
    <w:p>
      <w:pPr>
        <w:spacing w:after="160"/>
      </w:pPr>
      <w:r>
        <w:t xml:space="preserve">The PEOs are reviewed at least every three years, and in any year in which a structural curriculum change is approved, through the departmental curriculum-update procedure. The review draws on host-clinic supervisors from Summer Training and clinical placements, alumni, the departmental council and teaching staff, and external subject reviewers. Findings are recorded in the departmental quality file and any resulting amendment is submitted for approval with the revised specification.</w:t>
      </w:r>
    </w:p>
    <w:p>
      <w:pPr>
        <w:pStyle w:val="Heading1"/>
        <w:spacing w:after="200" w:before="320"/>
      </w:pPr>
      <w:r>
        <w:t xml:space="preserve">7. Program Learning Outcomes (PLOs)</w:t>
      </w:r>
    </w:p>
    <w:p>
      <w:pPr>
        <w:spacing w:after="160"/>
      </w:pPr>
      <w:r>
        <w:t xml:space="preserve">Program Learning Outcomes describe what a graduate can do on the day they complete the program.</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000"/>
        <w:gridCol w:w="8000"/>
      </w:tblGrid>
      <w:tr>
        <w:trPr>
          <w:tblHeader/>
        </w:trPr>
        <w:tc>
          <w:tcPr>
            <w:tcW w:type="dxa" w:w="1000"/>
            <w:tcBorders>
              <w:top w:val="single" w:color="BFBFBF" w:sz="4"/>
              <w:left w:val="single" w:color="BFBFBF" w:sz="4"/>
              <w:bottom w:val="single" w:color="BFBFBF" w:sz="4"/>
              <w:right w:val="single" w:color="BFBFBF" w:sz="4"/>
            </w:tcBorders>
            <w:shd w:fill="D9D9D9" w:val="clear"/>
            <w:tcMar>
              <w:top w:type="dxa" w:w="60"/>
              <w:left w:type="dxa" w:w="90"/>
              <w:bottom w:type="dxa" w:w="60"/>
              <w:right w:type="dxa" w:w="90"/>
            </w:tcMar>
            <w:vAlign w:val="center"/>
          </w:tcPr>
          <w:p>
            <w:pPr>
              <w:spacing w:after="40"/>
            </w:pPr>
            <w:r>
              <w:rPr>
                <w:b/>
                <w:bCs/>
              </w:rPr>
              <w:t xml:space="preserve">Code</w:t>
            </w:r>
          </w:p>
        </w:tc>
        <w:tc>
          <w:tcPr>
            <w:tcW w:type="dxa" w:w="8000"/>
            <w:tcBorders>
              <w:top w:val="single" w:color="BFBFBF" w:sz="4"/>
              <w:left w:val="single" w:color="BFBFBF" w:sz="4"/>
              <w:bottom w:val="single" w:color="BFBFBF" w:sz="4"/>
              <w:right w:val="single" w:color="BFBFBF" w:sz="4"/>
            </w:tcBorders>
            <w:shd w:fill="D9D9D9" w:val="clear"/>
            <w:tcMar>
              <w:top w:type="dxa" w:w="60"/>
              <w:left w:type="dxa" w:w="90"/>
              <w:bottom w:type="dxa" w:w="60"/>
              <w:right w:type="dxa" w:w="90"/>
            </w:tcMar>
            <w:vAlign w:val="center"/>
          </w:tcPr>
          <w:p>
            <w:pPr>
              <w:spacing w:after="40"/>
            </w:pPr>
            <w:r>
              <w:rPr>
                <w:b/>
                <w:bCs/>
              </w:rPr>
              <w:t xml:space="preserve">Learning Outcome</w:t>
            </w:r>
          </w:p>
        </w:tc>
      </w:tr>
      <w:tr>
        <w:tc>
          <w:tcPr>
            <w:tcW w:type="dxa" w:w="10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PLO1</w:t>
            </w:r>
          </w:p>
        </w:tc>
        <w:tc>
          <w:tcPr>
            <w:tcW w:type="dxa" w:w="80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Clinical Skills: Demonstrate proficiency in dental assisting tasks — patient preparation, chairside assistance, infection control, and dental radiography — in line with safety standards.</w:t>
            </w:r>
          </w:p>
        </w:tc>
      </w:tr>
      <w:tr>
        <w:tc>
          <w:tcPr>
            <w:tcW w:type="dxa" w:w="10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PLO2</w:t>
            </w:r>
          </w:p>
        </w:tc>
        <w:tc>
          <w:tcPr>
            <w:tcW w:type="dxa" w:w="80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Knowledge of Dental Sciences: Show a working understanding of dental anatomy, oral pathology, pharmacology, and the materials and methods used in dental treatment.</w:t>
            </w:r>
          </w:p>
        </w:tc>
      </w:tr>
      <w:tr>
        <w:tc>
          <w:tcPr>
            <w:tcW w:type="dxa" w:w="10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PLO3</w:t>
            </w:r>
          </w:p>
        </w:tc>
        <w:tc>
          <w:tcPr>
            <w:tcW w:type="dxa" w:w="80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Dental Office Administration: Manage dental office operations — scheduling, patient records, billing and insurance processing — using appropriate dental software.</w:t>
            </w:r>
          </w:p>
        </w:tc>
      </w:tr>
      <w:tr>
        <w:tc>
          <w:tcPr>
            <w:tcW w:type="dxa" w:w="10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PLO4</w:t>
            </w:r>
          </w:p>
        </w:tc>
        <w:tc>
          <w:tcPr>
            <w:tcW w:type="dxa" w:w="80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Professionalism and Ethics: Exhibit professionalism, ethical behaviour and sensitivity to patient needs, maintaining confidentiality and integrity.</w:t>
            </w:r>
          </w:p>
        </w:tc>
      </w:tr>
      <w:tr>
        <w:tc>
          <w:tcPr>
            <w:tcW w:type="dxa" w:w="10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PLO5</w:t>
            </w:r>
          </w:p>
        </w:tc>
        <w:tc>
          <w:tcPr>
            <w:tcW w:type="dxa" w:w="80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Communication Skills: Communicate clearly with patients and collaborate effectively with dentists and the healthcare team.</w:t>
            </w:r>
          </w:p>
        </w:tc>
      </w:tr>
      <w:tr>
        <w:tc>
          <w:tcPr>
            <w:tcW w:type="dxa" w:w="10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PLO6</w:t>
            </w:r>
          </w:p>
        </w:tc>
        <w:tc>
          <w:tcPr>
            <w:tcW w:type="dxa" w:w="80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Critical Thinking and Problem-Solving: Apply critical thinking in clinical and administrative situations, adapting to changing circumstances in the dental office.</w:t>
            </w:r>
          </w:p>
        </w:tc>
      </w:tr>
      <w:tr>
        <w:tc>
          <w:tcPr>
            <w:tcW w:type="dxa" w:w="10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PLO7</w:t>
            </w:r>
          </w:p>
        </w:tc>
        <w:tc>
          <w:tcPr>
            <w:tcW w:type="dxa" w:w="80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Health Promotion and Disease Prevention: Educate patients on oral healthcare and disease prevention as part of overall health maintenance.</w:t>
            </w:r>
          </w:p>
        </w:tc>
      </w:tr>
      <w:tr>
        <w:tc>
          <w:tcPr>
            <w:tcW w:type="dxa" w:w="10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PLO8</w:t>
            </w:r>
          </w:p>
        </w:tc>
        <w:tc>
          <w:tcPr>
            <w:tcW w:type="dxa" w:w="80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Commitment to Lifelong Learning: Engage in continuous learning about current trends, technologies and best practices in dental assisting.</w:t>
            </w:r>
          </w:p>
        </w:tc>
      </w:tr>
    </w:tbl>
    <w:p>
      <w:pPr>
        <w:pStyle w:val="Heading1"/>
        <w:spacing w:after="200" w:before="320"/>
      </w:pPr>
      <w:r>
        <w:t xml:space="preserve">8. PEO – PLO alignment matrix</w:t>
      </w:r>
    </w:p>
    <w:p>
      <w:pPr>
        <w:spacing w:after="160"/>
      </w:pPr>
      <w:r>
        <w:t xml:space="preserve">This is a first-cut alignment based on the stated objectives and outcomes above; it should be reviewed and confirmed by the departmental curriculum committee.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400"/>
        <w:gridCol w:w="950"/>
        <w:gridCol w:w="950"/>
        <w:gridCol w:w="950"/>
        <w:gridCol w:w="950"/>
        <w:gridCol w:w="950"/>
        <w:gridCol w:w="950"/>
        <w:gridCol w:w="950"/>
        <w:gridCol w:w="950"/>
      </w:tblGrid>
      <w:tr>
        <w:trPr>
          <w:tblHeader/>
        </w:trPr>
        <w:tc>
          <w:tcPr>
            <w:tcW w:type="dxa" w:w="1400"/>
            <w:tcBorders>
              <w:top w:val="single" w:color="BFBFBF" w:sz="4"/>
              <w:left w:val="single" w:color="BFBFBF" w:sz="4"/>
              <w:bottom w:val="single" w:color="BFBFBF" w:sz="4"/>
              <w:right w:val="single" w:color="BFBFBF" w:sz="4"/>
            </w:tcBorders>
            <w:shd w:fill="D9D9D9" w:val="clear"/>
            <w:tcMar>
              <w:top w:type="dxa" w:w="60"/>
              <w:left w:type="dxa" w:w="90"/>
              <w:bottom w:type="dxa" w:w="60"/>
              <w:right w:type="dxa" w:w="90"/>
            </w:tcMar>
            <w:vAlign w:val="center"/>
          </w:tcPr>
          <w:p>
            <w:pPr>
              <w:spacing w:after="40"/>
            </w:pPr>
            <w:r>
              <w:rPr>
                <w:b/>
                <w:bCs/>
              </w:rPr>
              <w:t xml:space="preserve"/>
            </w:r>
          </w:p>
        </w:tc>
        <w:tc>
          <w:tcPr>
            <w:tcW w:type="dxa" w:w="950"/>
            <w:tcBorders>
              <w:top w:val="single" w:color="BFBFBF" w:sz="4"/>
              <w:left w:val="single" w:color="BFBFBF" w:sz="4"/>
              <w:bottom w:val="single" w:color="BFBFBF" w:sz="4"/>
              <w:right w:val="single" w:color="BFBFBF" w:sz="4"/>
            </w:tcBorders>
            <w:shd w:fill="D9D9D9" w:val="clear"/>
            <w:tcMar>
              <w:top w:type="dxa" w:w="60"/>
              <w:left w:type="dxa" w:w="90"/>
              <w:bottom w:type="dxa" w:w="60"/>
              <w:right w:type="dxa" w:w="90"/>
            </w:tcMar>
            <w:vAlign w:val="center"/>
          </w:tcPr>
          <w:p>
            <w:pPr>
              <w:spacing w:after="40"/>
            </w:pPr>
            <w:r>
              <w:rPr>
                <w:b/>
                <w:bCs/>
              </w:rPr>
              <w:t xml:space="preserve">PLO1</w:t>
            </w:r>
          </w:p>
        </w:tc>
        <w:tc>
          <w:tcPr>
            <w:tcW w:type="dxa" w:w="950"/>
            <w:tcBorders>
              <w:top w:val="single" w:color="BFBFBF" w:sz="4"/>
              <w:left w:val="single" w:color="BFBFBF" w:sz="4"/>
              <w:bottom w:val="single" w:color="BFBFBF" w:sz="4"/>
              <w:right w:val="single" w:color="BFBFBF" w:sz="4"/>
            </w:tcBorders>
            <w:shd w:fill="D9D9D9" w:val="clear"/>
            <w:tcMar>
              <w:top w:type="dxa" w:w="60"/>
              <w:left w:type="dxa" w:w="90"/>
              <w:bottom w:type="dxa" w:w="60"/>
              <w:right w:type="dxa" w:w="90"/>
            </w:tcMar>
            <w:vAlign w:val="center"/>
          </w:tcPr>
          <w:p>
            <w:pPr>
              <w:spacing w:after="40"/>
            </w:pPr>
            <w:r>
              <w:rPr>
                <w:b/>
                <w:bCs/>
              </w:rPr>
              <w:t xml:space="preserve">PLO2</w:t>
            </w:r>
          </w:p>
        </w:tc>
        <w:tc>
          <w:tcPr>
            <w:tcW w:type="dxa" w:w="950"/>
            <w:tcBorders>
              <w:top w:val="single" w:color="BFBFBF" w:sz="4"/>
              <w:left w:val="single" w:color="BFBFBF" w:sz="4"/>
              <w:bottom w:val="single" w:color="BFBFBF" w:sz="4"/>
              <w:right w:val="single" w:color="BFBFBF" w:sz="4"/>
            </w:tcBorders>
            <w:shd w:fill="D9D9D9" w:val="clear"/>
            <w:tcMar>
              <w:top w:type="dxa" w:w="60"/>
              <w:left w:type="dxa" w:w="90"/>
              <w:bottom w:type="dxa" w:w="60"/>
              <w:right w:type="dxa" w:w="90"/>
            </w:tcMar>
            <w:vAlign w:val="center"/>
          </w:tcPr>
          <w:p>
            <w:pPr>
              <w:spacing w:after="40"/>
            </w:pPr>
            <w:r>
              <w:rPr>
                <w:b/>
                <w:bCs/>
              </w:rPr>
              <w:t xml:space="preserve">PLO3</w:t>
            </w:r>
          </w:p>
        </w:tc>
        <w:tc>
          <w:tcPr>
            <w:tcW w:type="dxa" w:w="950"/>
            <w:tcBorders>
              <w:top w:val="single" w:color="BFBFBF" w:sz="4"/>
              <w:left w:val="single" w:color="BFBFBF" w:sz="4"/>
              <w:bottom w:val="single" w:color="BFBFBF" w:sz="4"/>
              <w:right w:val="single" w:color="BFBFBF" w:sz="4"/>
            </w:tcBorders>
            <w:shd w:fill="D9D9D9" w:val="clear"/>
            <w:tcMar>
              <w:top w:type="dxa" w:w="60"/>
              <w:left w:type="dxa" w:w="90"/>
              <w:bottom w:type="dxa" w:w="60"/>
              <w:right w:type="dxa" w:w="90"/>
            </w:tcMar>
            <w:vAlign w:val="center"/>
          </w:tcPr>
          <w:p>
            <w:pPr>
              <w:spacing w:after="40"/>
            </w:pPr>
            <w:r>
              <w:rPr>
                <w:b/>
                <w:bCs/>
              </w:rPr>
              <w:t xml:space="preserve">PLO4</w:t>
            </w:r>
          </w:p>
        </w:tc>
        <w:tc>
          <w:tcPr>
            <w:tcW w:type="dxa" w:w="950"/>
            <w:tcBorders>
              <w:top w:val="single" w:color="BFBFBF" w:sz="4"/>
              <w:left w:val="single" w:color="BFBFBF" w:sz="4"/>
              <w:bottom w:val="single" w:color="BFBFBF" w:sz="4"/>
              <w:right w:val="single" w:color="BFBFBF" w:sz="4"/>
            </w:tcBorders>
            <w:shd w:fill="D9D9D9" w:val="clear"/>
            <w:tcMar>
              <w:top w:type="dxa" w:w="60"/>
              <w:left w:type="dxa" w:w="90"/>
              <w:bottom w:type="dxa" w:w="60"/>
              <w:right w:type="dxa" w:w="90"/>
            </w:tcMar>
            <w:vAlign w:val="center"/>
          </w:tcPr>
          <w:p>
            <w:pPr>
              <w:spacing w:after="40"/>
            </w:pPr>
            <w:r>
              <w:rPr>
                <w:b/>
                <w:bCs/>
              </w:rPr>
              <w:t xml:space="preserve">PLO5</w:t>
            </w:r>
          </w:p>
        </w:tc>
        <w:tc>
          <w:tcPr>
            <w:tcW w:type="dxa" w:w="950"/>
            <w:tcBorders>
              <w:top w:val="single" w:color="BFBFBF" w:sz="4"/>
              <w:left w:val="single" w:color="BFBFBF" w:sz="4"/>
              <w:bottom w:val="single" w:color="BFBFBF" w:sz="4"/>
              <w:right w:val="single" w:color="BFBFBF" w:sz="4"/>
            </w:tcBorders>
            <w:shd w:fill="D9D9D9" w:val="clear"/>
            <w:tcMar>
              <w:top w:type="dxa" w:w="60"/>
              <w:left w:type="dxa" w:w="90"/>
              <w:bottom w:type="dxa" w:w="60"/>
              <w:right w:type="dxa" w:w="90"/>
            </w:tcMar>
            <w:vAlign w:val="center"/>
          </w:tcPr>
          <w:p>
            <w:pPr>
              <w:spacing w:after="40"/>
            </w:pPr>
            <w:r>
              <w:rPr>
                <w:b/>
                <w:bCs/>
              </w:rPr>
              <w:t xml:space="preserve">PLO6</w:t>
            </w:r>
          </w:p>
        </w:tc>
        <w:tc>
          <w:tcPr>
            <w:tcW w:type="dxa" w:w="950"/>
            <w:tcBorders>
              <w:top w:val="single" w:color="BFBFBF" w:sz="4"/>
              <w:left w:val="single" w:color="BFBFBF" w:sz="4"/>
              <w:bottom w:val="single" w:color="BFBFBF" w:sz="4"/>
              <w:right w:val="single" w:color="BFBFBF" w:sz="4"/>
            </w:tcBorders>
            <w:shd w:fill="D9D9D9" w:val="clear"/>
            <w:tcMar>
              <w:top w:type="dxa" w:w="60"/>
              <w:left w:type="dxa" w:w="90"/>
              <w:bottom w:type="dxa" w:w="60"/>
              <w:right w:type="dxa" w:w="90"/>
            </w:tcMar>
            <w:vAlign w:val="center"/>
          </w:tcPr>
          <w:p>
            <w:pPr>
              <w:spacing w:after="40"/>
            </w:pPr>
            <w:r>
              <w:rPr>
                <w:b/>
                <w:bCs/>
              </w:rPr>
              <w:t xml:space="preserve">PLO7</w:t>
            </w:r>
          </w:p>
        </w:tc>
        <w:tc>
          <w:tcPr>
            <w:tcW w:type="dxa" w:w="950"/>
            <w:tcBorders>
              <w:top w:val="single" w:color="BFBFBF" w:sz="4"/>
              <w:left w:val="single" w:color="BFBFBF" w:sz="4"/>
              <w:bottom w:val="single" w:color="BFBFBF" w:sz="4"/>
              <w:right w:val="single" w:color="BFBFBF" w:sz="4"/>
            </w:tcBorders>
            <w:shd w:fill="D9D9D9" w:val="clear"/>
            <w:tcMar>
              <w:top w:type="dxa" w:w="60"/>
              <w:left w:type="dxa" w:w="90"/>
              <w:bottom w:type="dxa" w:w="60"/>
              <w:right w:type="dxa" w:w="90"/>
            </w:tcMar>
            <w:vAlign w:val="center"/>
          </w:tcPr>
          <w:p>
            <w:pPr>
              <w:spacing w:after="40"/>
            </w:pPr>
            <w:r>
              <w:rPr>
                <w:b/>
                <w:bCs/>
              </w:rPr>
              <w:t xml:space="preserve">PLO8</w:t>
            </w:r>
          </w:p>
        </w:tc>
      </w:tr>
      <w:tr>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PEO1</w:t>
            </w:r>
          </w:p>
        </w:tc>
        <w:tc>
          <w:tcPr>
            <w:tcW w:type="dxa" w:w="9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w:t>
            </w:r>
          </w:p>
        </w:tc>
        <w:tc>
          <w:tcPr>
            <w:tcW w:type="dxa" w:w="9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w:t>
            </w:r>
          </w:p>
        </w:tc>
        <w:tc>
          <w:tcPr>
            <w:tcW w:type="dxa" w:w="9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9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9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9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w:t>
            </w:r>
          </w:p>
        </w:tc>
        <w:tc>
          <w:tcPr>
            <w:tcW w:type="dxa" w:w="9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9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r>
      <w:tr>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PEO2</w:t>
            </w:r>
          </w:p>
        </w:tc>
        <w:tc>
          <w:tcPr>
            <w:tcW w:type="dxa" w:w="9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9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9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9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9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9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9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9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w:t>
            </w:r>
          </w:p>
        </w:tc>
      </w:tr>
      <w:tr>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PEO3</w:t>
            </w:r>
          </w:p>
        </w:tc>
        <w:tc>
          <w:tcPr>
            <w:tcW w:type="dxa" w:w="9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9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9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9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w:t>
            </w:r>
          </w:p>
        </w:tc>
        <w:tc>
          <w:tcPr>
            <w:tcW w:type="dxa" w:w="9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9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9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9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r>
      <w:tr>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PEO4</w:t>
            </w:r>
          </w:p>
        </w:tc>
        <w:tc>
          <w:tcPr>
            <w:tcW w:type="dxa" w:w="9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9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9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w:t>
            </w:r>
          </w:p>
        </w:tc>
        <w:tc>
          <w:tcPr>
            <w:tcW w:type="dxa" w:w="9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9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w:t>
            </w:r>
          </w:p>
        </w:tc>
        <w:tc>
          <w:tcPr>
            <w:tcW w:type="dxa" w:w="9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9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9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r>
      <w:tr>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PEO5</w:t>
            </w:r>
          </w:p>
        </w:tc>
        <w:tc>
          <w:tcPr>
            <w:tcW w:type="dxa" w:w="9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9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9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9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9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9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9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w:t>
            </w:r>
          </w:p>
        </w:tc>
        <w:tc>
          <w:tcPr>
            <w:tcW w:type="dxa" w:w="9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r>
    </w:tbl>
    <w:p>
      <w:pPr>
        <w:pStyle w:val="Heading1"/>
        <w:spacing w:after="200" w:before="320"/>
      </w:pPr>
      <w:r>
        <w:t xml:space="preserve">9. Curriculum map: PLO – course matrix</w:t>
      </w:r>
    </w:p>
    <w:p>
      <w:pPr>
        <w:spacing w:after="160"/>
      </w:pPr>
      <w:r>
        <w:t xml:space="preserve">A full PLO-to-course mapping requires subject-level judgement from the department's teaching staff and has not yet been completed for the 2026–2027 curriculum. The shell below lists every course, with its 2026–2027 code, against the eight PLOs for the department to populate.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900"/>
        <w:gridCol w:w="500"/>
        <w:gridCol w:w="620"/>
        <w:gridCol w:w="620"/>
        <w:gridCol w:w="620"/>
        <w:gridCol w:w="620"/>
        <w:gridCol w:w="620"/>
        <w:gridCol w:w="620"/>
        <w:gridCol w:w="620"/>
        <w:gridCol w:w="620"/>
      </w:tblGrid>
      <w:tr>
        <w:trPr>
          <w:tblHeader/>
        </w:trPr>
        <w:tc>
          <w:tcPr>
            <w:tcW w:type="dxa" w:w="2900"/>
            <w:tcBorders>
              <w:top w:val="single" w:color="BFBFBF" w:sz="4"/>
              <w:left w:val="single" w:color="BFBFBF" w:sz="4"/>
              <w:bottom w:val="single" w:color="BFBFBF" w:sz="4"/>
              <w:right w:val="single" w:color="BFBFBF" w:sz="4"/>
            </w:tcBorders>
            <w:shd w:fill="D9D9D9" w:val="clear"/>
            <w:tcMar>
              <w:top w:type="dxa" w:w="60"/>
              <w:left w:type="dxa" w:w="90"/>
              <w:bottom w:type="dxa" w:w="60"/>
              <w:right w:type="dxa" w:w="90"/>
            </w:tcMar>
            <w:vAlign w:val="center"/>
          </w:tcPr>
          <w:p>
            <w:pPr>
              <w:spacing w:after="40"/>
            </w:pPr>
            <w:r>
              <w:rPr>
                <w:b/>
                <w:bCs/>
              </w:rPr>
              <w:t xml:space="preserve">Course</w:t>
            </w:r>
          </w:p>
        </w:tc>
        <w:tc>
          <w:tcPr>
            <w:tcW w:type="dxa" w:w="500"/>
            <w:tcBorders>
              <w:top w:val="single" w:color="BFBFBF" w:sz="4"/>
              <w:left w:val="single" w:color="BFBFBF" w:sz="4"/>
              <w:bottom w:val="single" w:color="BFBFBF" w:sz="4"/>
              <w:right w:val="single" w:color="BFBFBF" w:sz="4"/>
            </w:tcBorders>
            <w:shd w:fill="D9D9D9" w:val="clear"/>
            <w:tcMar>
              <w:top w:type="dxa" w:w="60"/>
              <w:left w:type="dxa" w:w="90"/>
              <w:bottom w:type="dxa" w:w="60"/>
              <w:right w:type="dxa" w:w="90"/>
            </w:tcMar>
            <w:vAlign w:val="center"/>
          </w:tcPr>
          <w:p>
            <w:pPr>
              <w:spacing w:after="40"/>
            </w:pPr>
            <w:r>
              <w:rPr>
                <w:b/>
                <w:bCs/>
              </w:rPr>
              <w:t xml:space="preserve">Sem.</w:t>
            </w:r>
          </w:p>
        </w:tc>
        <w:tc>
          <w:tcPr>
            <w:tcW w:type="dxa" w:w="620"/>
            <w:tcBorders>
              <w:top w:val="single" w:color="BFBFBF" w:sz="4"/>
              <w:left w:val="single" w:color="BFBFBF" w:sz="4"/>
              <w:bottom w:val="single" w:color="BFBFBF" w:sz="4"/>
              <w:right w:val="single" w:color="BFBFBF" w:sz="4"/>
            </w:tcBorders>
            <w:shd w:fill="D9D9D9" w:val="clear"/>
            <w:tcMar>
              <w:top w:type="dxa" w:w="60"/>
              <w:left w:type="dxa" w:w="90"/>
              <w:bottom w:type="dxa" w:w="60"/>
              <w:right w:type="dxa" w:w="90"/>
            </w:tcMar>
            <w:vAlign w:val="center"/>
          </w:tcPr>
          <w:p>
            <w:pPr>
              <w:spacing w:after="40"/>
            </w:pPr>
            <w:r>
              <w:rPr>
                <w:b/>
                <w:bCs/>
              </w:rPr>
              <w:t xml:space="preserve">P1</w:t>
            </w:r>
          </w:p>
        </w:tc>
        <w:tc>
          <w:tcPr>
            <w:tcW w:type="dxa" w:w="620"/>
            <w:tcBorders>
              <w:top w:val="single" w:color="BFBFBF" w:sz="4"/>
              <w:left w:val="single" w:color="BFBFBF" w:sz="4"/>
              <w:bottom w:val="single" w:color="BFBFBF" w:sz="4"/>
              <w:right w:val="single" w:color="BFBFBF" w:sz="4"/>
            </w:tcBorders>
            <w:shd w:fill="D9D9D9" w:val="clear"/>
            <w:tcMar>
              <w:top w:type="dxa" w:w="60"/>
              <w:left w:type="dxa" w:w="90"/>
              <w:bottom w:type="dxa" w:w="60"/>
              <w:right w:type="dxa" w:w="90"/>
            </w:tcMar>
            <w:vAlign w:val="center"/>
          </w:tcPr>
          <w:p>
            <w:pPr>
              <w:spacing w:after="40"/>
            </w:pPr>
            <w:r>
              <w:rPr>
                <w:b/>
                <w:bCs/>
              </w:rPr>
              <w:t xml:space="preserve">P2</w:t>
            </w:r>
          </w:p>
        </w:tc>
        <w:tc>
          <w:tcPr>
            <w:tcW w:type="dxa" w:w="620"/>
            <w:tcBorders>
              <w:top w:val="single" w:color="BFBFBF" w:sz="4"/>
              <w:left w:val="single" w:color="BFBFBF" w:sz="4"/>
              <w:bottom w:val="single" w:color="BFBFBF" w:sz="4"/>
              <w:right w:val="single" w:color="BFBFBF" w:sz="4"/>
            </w:tcBorders>
            <w:shd w:fill="D9D9D9" w:val="clear"/>
            <w:tcMar>
              <w:top w:type="dxa" w:w="60"/>
              <w:left w:type="dxa" w:w="90"/>
              <w:bottom w:type="dxa" w:w="60"/>
              <w:right w:type="dxa" w:w="90"/>
            </w:tcMar>
            <w:vAlign w:val="center"/>
          </w:tcPr>
          <w:p>
            <w:pPr>
              <w:spacing w:after="40"/>
            </w:pPr>
            <w:r>
              <w:rPr>
                <w:b/>
                <w:bCs/>
              </w:rPr>
              <w:t xml:space="preserve">P3</w:t>
            </w:r>
          </w:p>
        </w:tc>
        <w:tc>
          <w:tcPr>
            <w:tcW w:type="dxa" w:w="620"/>
            <w:tcBorders>
              <w:top w:val="single" w:color="BFBFBF" w:sz="4"/>
              <w:left w:val="single" w:color="BFBFBF" w:sz="4"/>
              <w:bottom w:val="single" w:color="BFBFBF" w:sz="4"/>
              <w:right w:val="single" w:color="BFBFBF" w:sz="4"/>
            </w:tcBorders>
            <w:shd w:fill="D9D9D9" w:val="clear"/>
            <w:tcMar>
              <w:top w:type="dxa" w:w="60"/>
              <w:left w:type="dxa" w:w="90"/>
              <w:bottom w:type="dxa" w:w="60"/>
              <w:right w:type="dxa" w:w="90"/>
            </w:tcMar>
            <w:vAlign w:val="center"/>
          </w:tcPr>
          <w:p>
            <w:pPr>
              <w:spacing w:after="40"/>
            </w:pPr>
            <w:r>
              <w:rPr>
                <w:b/>
                <w:bCs/>
              </w:rPr>
              <w:t xml:space="preserve">P4</w:t>
            </w:r>
          </w:p>
        </w:tc>
        <w:tc>
          <w:tcPr>
            <w:tcW w:type="dxa" w:w="620"/>
            <w:tcBorders>
              <w:top w:val="single" w:color="BFBFBF" w:sz="4"/>
              <w:left w:val="single" w:color="BFBFBF" w:sz="4"/>
              <w:bottom w:val="single" w:color="BFBFBF" w:sz="4"/>
              <w:right w:val="single" w:color="BFBFBF" w:sz="4"/>
            </w:tcBorders>
            <w:shd w:fill="D9D9D9" w:val="clear"/>
            <w:tcMar>
              <w:top w:type="dxa" w:w="60"/>
              <w:left w:type="dxa" w:w="90"/>
              <w:bottom w:type="dxa" w:w="60"/>
              <w:right w:type="dxa" w:w="90"/>
            </w:tcMar>
            <w:vAlign w:val="center"/>
          </w:tcPr>
          <w:p>
            <w:pPr>
              <w:spacing w:after="40"/>
            </w:pPr>
            <w:r>
              <w:rPr>
                <w:b/>
                <w:bCs/>
              </w:rPr>
              <w:t xml:space="preserve">P5</w:t>
            </w:r>
          </w:p>
        </w:tc>
        <w:tc>
          <w:tcPr>
            <w:tcW w:type="dxa" w:w="620"/>
            <w:tcBorders>
              <w:top w:val="single" w:color="BFBFBF" w:sz="4"/>
              <w:left w:val="single" w:color="BFBFBF" w:sz="4"/>
              <w:bottom w:val="single" w:color="BFBFBF" w:sz="4"/>
              <w:right w:val="single" w:color="BFBFBF" w:sz="4"/>
            </w:tcBorders>
            <w:shd w:fill="D9D9D9" w:val="clear"/>
            <w:tcMar>
              <w:top w:type="dxa" w:w="60"/>
              <w:left w:type="dxa" w:w="90"/>
              <w:bottom w:type="dxa" w:w="60"/>
              <w:right w:type="dxa" w:w="90"/>
            </w:tcMar>
            <w:vAlign w:val="center"/>
          </w:tcPr>
          <w:p>
            <w:pPr>
              <w:spacing w:after="40"/>
            </w:pPr>
            <w:r>
              <w:rPr>
                <w:b/>
                <w:bCs/>
              </w:rPr>
              <w:t xml:space="preserve">P6</w:t>
            </w:r>
          </w:p>
        </w:tc>
        <w:tc>
          <w:tcPr>
            <w:tcW w:type="dxa" w:w="620"/>
            <w:tcBorders>
              <w:top w:val="single" w:color="BFBFBF" w:sz="4"/>
              <w:left w:val="single" w:color="BFBFBF" w:sz="4"/>
              <w:bottom w:val="single" w:color="BFBFBF" w:sz="4"/>
              <w:right w:val="single" w:color="BFBFBF" w:sz="4"/>
            </w:tcBorders>
            <w:shd w:fill="D9D9D9" w:val="clear"/>
            <w:tcMar>
              <w:top w:type="dxa" w:w="60"/>
              <w:left w:type="dxa" w:w="90"/>
              <w:bottom w:type="dxa" w:w="60"/>
              <w:right w:type="dxa" w:w="90"/>
            </w:tcMar>
            <w:vAlign w:val="center"/>
          </w:tcPr>
          <w:p>
            <w:pPr>
              <w:spacing w:after="40"/>
            </w:pPr>
            <w:r>
              <w:rPr>
                <w:b/>
                <w:bCs/>
              </w:rPr>
              <w:t xml:space="preserve">P7</w:t>
            </w:r>
          </w:p>
        </w:tc>
        <w:tc>
          <w:tcPr>
            <w:tcW w:type="dxa" w:w="620"/>
            <w:tcBorders>
              <w:top w:val="single" w:color="BFBFBF" w:sz="4"/>
              <w:left w:val="single" w:color="BFBFBF" w:sz="4"/>
              <w:bottom w:val="single" w:color="BFBFBF" w:sz="4"/>
              <w:right w:val="single" w:color="BFBFBF" w:sz="4"/>
            </w:tcBorders>
            <w:shd w:fill="D9D9D9" w:val="clear"/>
            <w:tcMar>
              <w:top w:type="dxa" w:w="60"/>
              <w:left w:type="dxa" w:w="90"/>
              <w:bottom w:type="dxa" w:w="60"/>
              <w:right w:type="dxa" w:w="90"/>
            </w:tcMar>
            <w:vAlign w:val="center"/>
          </w:tcPr>
          <w:p>
            <w:pPr>
              <w:spacing w:after="40"/>
            </w:pPr>
            <w:r>
              <w:rPr>
                <w:b/>
                <w:bCs/>
              </w:rPr>
              <w:t xml:space="preserve">P8</w:t>
            </w:r>
          </w:p>
        </w:tc>
      </w:tr>
      <w:tr>
        <w:tc>
          <w:tcPr>
            <w:tcW w:type="dxa" w:w="29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DA116 Medical Terminology</w:t>
            </w:r>
          </w:p>
        </w:tc>
        <w:tc>
          <w:tcPr>
            <w:tcW w:type="dxa" w:w="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1</w:t>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r>
      <w:tr>
        <w:tc>
          <w:tcPr>
            <w:tcW w:type="dxa" w:w="29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DA111 Maxillofacial &amp; Dental Anatomy</w:t>
            </w:r>
          </w:p>
        </w:tc>
        <w:tc>
          <w:tcPr>
            <w:tcW w:type="dxa" w:w="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1</w:t>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r>
      <w:tr>
        <w:tc>
          <w:tcPr>
            <w:tcW w:type="dxa" w:w="29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DA112 Dental Instruments &amp; Equipment</w:t>
            </w:r>
          </w:p>
        </w:tc>
        <w:tc>
          <w:tcPr>
            <w:tcW w:type="dxa" w:w="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1</w:t>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r>
      <w:tr>
        <w:tc>
          <w:tcPr>
            <w:tcW w:type="dxa" w:w="29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DA117 Kurdology</w:t>
            </w:r>
          </w:p>
        </w:tc>
        <w:tc>
          <w:tcPr>
            <w:tcW w:type="dxa" w:w="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1</w:t>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r>
      <w:tr>
        <w:tc>
          <w:tcPr>
            <w:tcW w:type="dxa" w:w="29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DA114 Academic Debate</w:t>
            </w:r>
          </w:p>
        </w:tc>
        <w:tc>
          <w:tcPr>
            <w:tcW w:type="dxa" w:w="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1</w:t>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r>
      <w:tr>
        <w:tc>
          <w:tcPr>
            <w:tcW w:type="dxa" w:w="29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DA115 Computer Applications</w:t>
            </w:r>
          </w:p>
        </w:tc>
        <w:tc>
          <w:tcPr>
            <w:tcW w:type="dxa" w:w="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1</w:t>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r>
      <w:tr>
        <w:tc>
          <w:tcPr>
            <w:tcW w:type="dxa" w:w="29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DA120 Oral Pathology</w:t>
            </w:r>
          </w:p>
        </w:tc>
        <w:tc>
          <w:tcPr>
            <w:tcW w:type="dxa" w:w="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2</w:t>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r>
      <w:tr>
        <w:tc>
          <w:tcPr>
            <w:tcW w:type="dxa" w:w="29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DA121 Dental Materials</w:t>
            </w:r>
          </w:p>
        </w:tc>
        <w:tc>
          <w:tcPr>
            <w:tcW w:type="dxa" w:w="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2</w:t>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r>
      <w:tr>
        <w:tc>
          <w:tcPr>
            <w:tcW w:type="dxa" w:w="29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DA126 Medical Microbiology</w:t>
            </w:r>
          </w:p>
        </w:tc>
        <w:tc>
          <w:tcPr>
            <w:tcW w:type="dxa" w:w="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2</w:t>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r>
      <w:tr>
        <w:tc>
          <w:tcPr>
            <w:tcW w:type="dxa" w:w="29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DA127 Oral Physiology</w:t>
            </w:r>
          </w:p>
        </w:tc>
        <w:tc>
          <w:tcPr>
            <w:tcW w:type="dxa" w:w="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2</w:t>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r>
      <w:tr>
        <w:tc>
          <w:tcPr>
            <w:tcW w:type="dxa" w:w="29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DA124 Medical &amp; Dental Ethics</w:t>
            </w:r>
          </w:p>
        </w:tc>
        <w:tc>
          <w:tcPr>
            <w:tcW w:type="dxa" w:w="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2</w:t>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r>
      <w:tr>
        <w:tc>
          <w:tcPr>
            <w:tcW w:type="dxa" w:w="29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DA237 Emergency in Dental Office</w:t>
            </w:r>
          </w:p>
        </w:tc>
        <w:tc>
          <w:tcPr>
            <w:tcW w:type="dxa" w:w="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3</w:t>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r>
      <w:tr>
        <w:tc>
          <w:tcPr>
            <w:tcW w:type="dxa" w:w="29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DA238 Clinical Dental Assisting I</w:t>
            </w:r>
          </w:p>
        </w:tc>
        <w:tc>
          <w:tcPr>
            <w:tcW w:type="dxa" w:w="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3</w:t>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r>
      <w:tr>
        <w:tc>
          <w:tcPr>
            <w:tcW w:type="dxa" w:w="29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DA239 Pharmacology &amp; Pain Management</w:t>
            </w:r>
          </w:p>
        </w:tc>
        <w:tc>
          <w:tcPr>
            <w:tcW w:type="dxa" w:w="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3</w:t>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r>
      <w:tr>
        <w:tc>
          <w:tcPr>
            <w:tcW w:type="dxa" w:w="29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DA2310 Pediatric &amp; Preventive Dental Assisting</w:t>
            </w:r>
          </w:p>
        </w:tc>
        <w:tc>
          <w:tcPr>
            <w:tcW w:type="dxa" w:w="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3</w:t>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r>
      <w:tr>
        <w:tc>
          <w:tcPr>
            <w:tcW w:type="dxa" w:w="29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DA2311 Orthodontics Assisting</w:t>
            </w:r>
          </w:p>
        </w:tc>
        <w:tc>
          <w:tcPr>
            <w:tcW w:type="dxa" w:w="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3</w:t>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r>
      <w:tr>
        <w:tc>
          <w:tcPr>
            <w:tcW w:type="dxa" w:w="29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DA2312 Career Development &amp; Entrepreneurship</w:t>
            </w:r>
          </w:p>
        </w:tc>
        <w:tc>
          <w:tcPr>
            <w:tcW w:type="dxa" w:w="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3</w:t>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r>
      <w:tr>
        <w:tc>
          <w:tcPr>
            <w:tcW w:type="dxa" w:w="29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DA246 Dental Office Management</w:t>
            </w:r>
          </w:p>
        </w:tc>
        <w:tc>
          <w:tcPr>
            <w:tcW w:type="dxa" w:w="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4</w:t>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r>
      <w:tr>
        <w:tc>
          <w:tcPr>
            <w:tcW w:type="dxa" w:w="29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DA247 Maxillofacial Radiography &amp; AI Application</w:t>
            </w:r>
          </w:p>
        </w:tc>
        <w:tc>
          <w:tcPr>
            <w:tcW w:type="dxa" w:w="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4</w:t>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r>
      <w:tr>
        <w:tc>
          <w:tcPr>
            <w:tcW w:type="dxa" w:w="29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DA242 Psychology</w:t>
            </w:r>
          </w:p>
        </w:tc>
        <w:tc>
          <w:tcPr>
            <w:tcW w:type="dxa" w:w="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4</w:t>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r>
      <w:tr>
        <w:tc>
          <w:tcPr>
            <w:tcW w:type="dxa" w:w="29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DA243 Oral &amp; Maxillofacial Surgery Assisting</w:t>
            </w:r>
          </w:p>
        </w:tc>
        <w:tc>
          <w:tcPr>
            <w:tcW w:type="dxa" w:w="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4</w:t>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r>
      <w:tr>
        <w:tc>
          <w:tcPr>
            <w:tcW w:type="dxa" w:w="29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DA244 Clinical Dental Assisting II</w:t>
            </w:r>
          </w:p>
        </w:tc>
        <w:tc>
          <w:tcPr>
            <w:tcW w:type="dxa" w:w="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4</w:t>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r>
      <w:tr>
        <w:tc>
          <w:tcPr>
            <w:tcW w:type="dxa" w:w="29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DA245 Summer Training</w:t>
            </w:r>
          </w:p>
        </w:tc>
        <w:tc>
          <w:tcPr>
            <w:tcW w:type="dxa" w:w="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4</w:t>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c>
          <w:tcPr>
            <w:tcW w:type="dxa" w:w="62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
            </w:r>
          </w:p>
        </w:tc>
      </w:tr>
    </w:tbl>
    <w:p>
      <w:pPr>
        <w:pStyle w:val="Heading1"/>
        <w:spacing w:after="200" w:before="320"/>
      </w:pPr>
      <w:r>
        <w:t xml:space="preserve">10. Course menu</w:t>
      </w:r>
    </w:p>
    <w:p>
      <w:pPr>
        <w:spacing w:after="160"/>
      </w:pPr>
      <w:r>
        <w:t xml:space="preserve">The table below reflects the 2026–2027 curriculum as recorded in the department's updated planning sheet (2027_DA.xlsx) and syllabus-update tracker. Codes for Medical Terminology, Kurdology, Medical Microbiology, Oral Physiology and Career Development &amp; Entrepreneurship — previously unassigned — and the renumbering of six Semester 3 and two Semester 4 specialist courses, are drawn directly from that sheet.</w:t>
      </w:r>
    </w:p>
    <w:p>
      <w:pPr>
        <w:spacing w:after="100"/>
      </w:pPr>
      <w:r>
        <w:rPr>
          <w:b/>
          <w:bCs/>
        </w:rPr>
        <w:t xml:space="preserve">Year 1: Semester 1</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
        <w:gridCol w:w="2500"/>
        <w:gridCol w:w="800"/>
        <w:gridCol w:w="800"/>
        <w:gridCol w:w="800"/>
        <w:gridCol w:w="700"/>
        <w:gridCol w:w="1400"/>
        <w:gridCol w:w="1100"/>
      </w:tblGrid>
      <w:tr>
        <w:trPr>
          <w:tblHeader/>
        </w:trPr>
        <w:tc>
          <w:tcPr>
            <w:tcW w:type="dxa" w:w="900"/>
            <w:tcBorders>
              <w:top w:val="single" w:color="BFBFBF" w:sz="4"/>
              <w:left w:val="single" w:color="BFBFBF" w:sz="4"/>
              <w:bottom w:val="single" w:color="BFBFBF" w:sz="4"/>
              <w:right w:val="single" w:color="BFBFBF" w:sz="4"/>
            </w:tcBorders>
            <w:shd w:fill="D9D9D9" w:val="clear"/>
            <w:tcMar>
              <w:top w:type="dxa" w:w="60"/>
              <w:left w:type="dxa" w:w="90"/>
              <w:bottom w:type="dxa" w:w="60"/>
              <w:right w:type="dxa" w:w="90"/>
            </w:tcMar>
            <w:vAlign w:val="center"/>
          </w:tcPr>
          <w:p>
            <w:pPr>
              <w:spacing w:after="40"/>
            </w:pPr>
            <w:r>
              <w:rPr>
                <w:b/>
                <w:bCs/>
              </w:rPr>
              <w:t xml:space="preserve">Code</w:t>
            </w:r>
          </w:p>
        </w:tc>
        <w:tc>
          <w:tcPr>
            <w:tcW w:type="dxa" w:w="2500"/>
            <w:tcBorders>
              <w:top w:val="single" w:color="BFBFBF" w:sz="4"/>
              <w:left w:val="single" w:color="BFBFBF" w:sz="4"/>
              <w:bottom w:val="single" w:color="BFBFBF" w:sz="4"/>
              <w:right w:val="single" w:color="BFBFBF" w:sz="4"/>
            </w:tcBorders>
            <w:shd w:fill="D9D9D9" w:val="clear"/>
            <w:tcMar>
              <w:top w:type="dxa" w:w="60"/>
              <w:left w:type="dxa" w:w="90"/>
              <w:bottom w:type="dxa" w:w="60"/>
              <w:right w:type="dxa" w:w="90"/>
            </w:tcMar>
            <w:vAlign w:val="center"/>
          </w:tcPr>
          <w:p>
            <w:pPr>
              <w:spacing w:after="40"/>
            </w:pPr>
            <w:r>
              <w:rPr>
                <w:b/>
                <w:bCs/>
              </w:rPr>
              <w:t xml:space="preserve">Course</w:t>
            </w:r>
          </w:p>
        </w:tc>
        <w:tc>
          <w:tcPr>
            <w:tcW w:type="dxa" w:w="800"/>
            <w:tcBorders>
              <w:top w:val="single" w:color="BFBFBF" w:sz="4"/>
              <w:left w:val="single" w:color="BFBFBF" w:sz="4"/>
              <w:bottom w:val="single" w:color="BFBFBF" w:sz="4"/>
              <w:right w:val="single" w:color="BFBFBF" w:sz="4"/>
            </w:tcBorders>
            <w:shd w:fill="D9D9D9" w:val="clear"/>
            <w:tcMar>
              <w:top w:type="dxa" w:w="60"/>
              <w:left w:type="dxa" w:w="90"/>
              <w:bottom w:type="dxa" w:w="60"/>
              <w:right w:type="dxa" w:w="90"/>
            </w:tcMar>
            <w:vAlign w:val="center"/>
          </w:tcPr>
          <w:p>
            <w:pPr>
              <w:spacing w:after="40"/>
            </w:pPr>
            <w:r>
              <w:rPr>
                <w:b/>
                <w:bCs/>
              </w:rPr>
              <w:t xml:space="preserve">Theory
h/wk</w:t>
            </w:r>
          </w:p>
        </w:tc>
        <w:tc>
          <w:tcPr>
            <w:tcW w:type="dxa" w:w="800"/>
            <w:tcBorders>
              <w:top w:val="single" w:color="BFBFBF" w:sz="4"/>
              <w:left w:val="single" w:color="BFBFBF" w:sz="4"/>
              <w:bottom w:val="single" w:color="BFBFBF" w:sz="4"/>
              <w:right w:val="single" w:color="BFBFBF" w:sz="4"/>
            </w:tcBorders>
            <w:shd w:fill="D9D9D9" w:val="clear"/>
            <w:tcMar>
              <w:top w:type="dxa" w:w="60"/>
              <w:left w:type="dxa" w:w="90"/>
              <w:bottom w:type="dxa" w:w="60"/>
              <w:right w:type="dxa" w:w="90"/>
            </w:tcMar>
            <w:vAlign w:val="center"/>
          </w:tcPr>
          <w:p>
            <w:pPr>
              <w:spacing w:after="40"/>
            </w:pPr>
            <w:r>
              <w:rPr>
                <w:b/>
                <w:bCs/>
              </w:rPr>
              <w:t xml:space="preserve">Practical
h/wk</w:t>
            </w:r>
          </w:p>
        </w:tc>
        <w:tc>
          <w:tcPr>
            <w:tcW w:type="dxa" w:w="800"/>
            <w:tcBorders>
              <w:top w:val="single" w:color="BFBFBF" w:sz="4"/>
              <w:left w:val="single" w:color="BFBFBF" w:sz="4"/>
              <w:bottom w:val="single" w:color="BFBFBF" w:sz="4"/>
              <w:right w:val="single" w:color="BFBFBF" w:sz="4"/>
            </w:tcBorders>
            <w:shd w:fill="D9D9D9" w:val="clear"/>
            <w:tcMar>
              <w:top w:type="dxa" w:w="60"/>
              <w:left w:type="dxa" w:w="90"/>
              <w:bottom w:type="dxa" w:w="60"/>
              <w:right w:type="dxa" w:w="90"/>
            </w:tcMar>
            <w:vAlign w:val="center"/>
          </w:tcPr>
          <w:p>
            <w:pPr>
              <w:spacing w:after="40"/>
            </w:pPr>
            <w:r>
              <w:rPr>
                <w:b/>
                <w:bCs/>
              </w:rPr>
              <w:t xml:space="preserve">Clinical
h/wk</w:t>
            </w:r>
          </w:p>
        </w:tc>
        <w:tc>
          <w:tcPr>
            <w:tcW w:type="dxa" w:w="700"/>
            <w:tcBorders>
              <w:top w:val="single" w:color="BFBFBF" w:sz="4"/>
              <w:left w:val="single" w:color="BFBFBF" w:sz="4"/>
              <w:bottom w:val="single" w:color="BFBFBF" w:sz="4"/>
              <w:right w:val="single" w:color="BFBFBF" w:sz="4"/>
            </w:tcBorders>
            <w:shd w:fill="D9D9D9" w:val="clear"/>
            <w:tcMar>
              <w:top w:type="dxa" w:w="60"/>
              <w:left w:type="dxa" w:w="90"/>
              <w:bottom w:type="dxa" w:w="60"/>
              <w:right w:type="dxa" w:w="90"/>
            </w:tcMar>
            <w:vAlign w:val="center"/>
          </w:tcPr>
          <w:p>
            <w:pPr>
              <w:spacing w:after="40"/>
            </w:pPr>
            <w:r>
              <w:rPr>
                <w:b/>
                <w:bCs/>
              </w:rPr>
              <w:t xml:space="preserve">ECTS</w:t>
            </w:r>
          </w:p>
        </w:tc>
        <w:tc>
          <w:tcPr>
            <w:tcW w:type="dxa" w:w="1400"/>
            <w:tcBorders>
              <w:top w:val="single" w:color="BFBFBF" w:sz="4"/>
              <w:left w:val="single" w:color="BFBFBF" w:sz="4"/>
              <w:bottom w:val="single" w:color="BFBFBF" w:sz="4"/>
              <w:right w:val="single" w:color="BFBFBF" w:sz="4"/>
            </w:tcBorders>
            <w:shd w:fill="D9D9D9" w:val="clear"/>
            <w:tcMar>
              <w:top w:type="dxa" w:w="60"/>
              <w:left w:type="dxa" w:w="90"/>
              <w:bottom w:type="dxa" w:w="60"/>
              <w:right w:type="dxa" w:w="90"/>
            </w:tcMar>
            <w:vAlign w:val="center"/>
          </w:tcPr>
          <w:p>
            <w:pPr>
              <w:spacing w:after="40"/>
            </w:pPr>
            <w:r>
              <w:rPr>
                <w:b/>
                <w:bCs/>
              </w:rPr>
              <w:t xml:space="preserve">Category</w:t>
            </w:r>
          </w:p>
        </w:tc>
        <w:tc>
          <w:tcPr>
            <w:tcW w:type="dxa" w:w="1100"/>
            <w:tcBorders>
              <w:top w:val="single" w:color="BFBFBF" w:sz="4"/>
              <w:left w:val="single" w:color="BFBFBF" w:sz="4"/>
              <w:bottom w:val="single" w:color="BFBFBF" w:sz="4"/>
              <w:right w:val="single" w:color="BFBFBF" w:sz="4"/>
            </w:tcBorders>
            <w:shd w:fill="D9D9D9" w:val="clear"/>
            <w:tcMar>
              <w:top w:type="dxa" w:w="60"/>
              <w:left w:type="dxa" w:w="90"/>
              <w:bottom w:type="dxa" w:w="60"/>
              <w:right w:type="dxa" w:w="90"/>
            </w:tcMar>
            <w:vAlign w:val="center"/>
          </w:tcPr>
          <w:p>
            <w:pPr>
              <w:spacing w:after="40"/>
            </w:pPr>
            <w:r>
              <w:rPr>
                <w:b/>
                <w:bCs/>
              </w:rPr>
              <w:t xml:space="preserve">Pre-req.</w:t>
            </w:r>
          </w:p>
        </w:tc>
      </w:tr>
      <w:tr>
        <w:tc>
          <w:tcPr>
            <w:tcW w:type="dxa" w:w="9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DA116</w:t>
            </w:r>
          </w:p>
        </w:tc>
        <w:tc>
          <w:tcPr>
            <w:tcW w:type="dxa" w:w="2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Medical Terminology</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2</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0</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0</w:t>
            </w:r>
          </w:p>
        </w:tc>
        <w:tc>
          <w:tcPr>
            <w:tcW w:type="dxa" w:w="7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5</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Degree</w:t>
            </w:r>
          </w:p>
        </w:tc>
        <w:tc>
          <w:tcPr>
            <w:tcW w:type="dxa" w:w="11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w:t>
            </w:r>
          </w:p>
        </w:tc>
      </w:tr>
      <w:tr>
        <w:tc>
          <w:tcPr>
            <w:tcW w:type="dxa" w:w="9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DA111</w:t>
            </w:r>
          </w:p>
        </w:tc>
        <w:tc>
          <w:tcPr>
            <w:tcW w:type="dxa" w:w="2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Maxillofacial &amp; Dental Anatomy</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2</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2</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0</w:t>
            </w:r>
          </w:p>
        </w:tc>
        <w:tc>
          <w:tcPr>
            <w:tcW w:type="dxa" w:w="7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6</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Department</w:t>
            </w:r>
          </w:p>
        </w:tc>
        <w:tc>
          <w:tcPr>
            <w:tcW w:type="dxa" w:w="11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w:t>
            </w:r>
          </w:p>
        </w:tc>
      </w:tr>
      <w:tr>
        <w:tc>
          <w:tcPr>
            <w:tcW w:type="dxa" w:w="9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DA112</w:t>
            </w:r>
          </w:p>
        </w:tc>
        <w:tc>
          <w:tcPr>
            <w:tcW w:type="dxa" w:w="2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Dental Instruments &amp; Equipment</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2</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2</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0</w:t>
            </w:r>
          </w:p>
        </w:tc>
        <w:tc>
          <w:tcPr>
            <w:tcW w:type="dxa" w:w="7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5</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Department</w:t>
            </w:r>
          </w:p>
        </w:tc>
        <w:tc>
          <w:tcPr>
            <w:tcW w:type="dxa" w:w="11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w:t>
            </w:r>
          </w:p>
        </w:tc>
      </w:tr>
      <w:tr>
        <w:tc>
          <w:tcPr>
            <w:tcW w:type="dxa" w:w="9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DA117</w:t>
            </w:r>
          </w:p>
        </w:tc>
        <w:tc>
          <w:tcPr>
            <w:tcW w:type="dxa" w:w="2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Kurdology</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2</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0</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0</w:t>
            </w:r>
          </w:p>
        </w:tc>
        <w:tc>
          <w:tcPr>
            <w:tcW w:type="dxa" w:w="7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5</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Institute</w:t>
            </w:r>
          </w:p>
        </w:tc>
        <w:tc>
          <w:tcPr>
            <w:tcW w:type="dxa" w:w="11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w:t>
            </w:r>
          </w:p>
        </w:tc>
      </w:tr>
      <w:tr>
        <w:tc>
          <w:tcPr>
            <w:tcW w:type="dxa" w:w="9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DA114</w:t>
            </w:r>
          </w:p>
        </w:tc>
        <w:tc>
          <w:tcPr>
            <w:tcW w:type="dxa" w:w="2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Academic Debate</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2</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0</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0</w:t>
            </w:r>
          </w:p>
        </w:tc>
        <w:tc>
          <w:tcPr>
            <w:tcW w:type="dxa" w:w="7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5</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Institute</w:t>
            </w:r>
          </w:p>
        </w:tc>
        <w:tc>
          <w:tcPr>
            <w:tcW w:type="dxa" w:w="11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w:t>
            </w:r>
          </w:p>
        </w:tc>
      </w:tr>
      <w:tr>
        <w:tc>
          <w:tcPr>
            <w:tcW w:type="dxa" w:w="9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DA115</w:t>
            </w:r>
          </w:p>
        </w:tc>
        <w:tc>
          <w:tcPr>
            <w:tcW w:type="dxa" w:w="2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Computer Applications</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0</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2</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0</w:t>
            </w:r>
          </w:p>
        </w:tc>
        <w:tc>
          <w:tcPr>
            <w:tcW w:type="dxa" w:w="7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4</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Institute</w:t>
            </w:r>
          </w:p>
        </w:tc>
        <w:tc>
          <w:tcPr>
            <w:tcW w:type="dxa" w:w="11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w:t>
            </w:r>
          </w:p>
        </w:tc>
      </w:tr>
      <w:tr>
        <w:tc>
          <w:tcPr>
            <w:tcW w:type="dxa" w:w="900"/>
            <w:tcBorders>
              <w:top w:val="single" w:color="BFBFBF" w:sz="4"/>
              <w:left w:val="single" w:color="BFBFBF" w:sz="4"/>
              <w:bottom w:val="single" w:color="BFBFBF" w:sz="4"/>
              <w:right w:val="single" w:color="BFBFBF" w:sz="4"/>
            </w:tcBorders>
            <w:shd w:fill="F2F2F2" w:val="clear"/>
            <w:tcMar>
              <w:top w:type="dxa" w:w="60"/>
              <w:left w:type="dxa" w:w="90"/>
              <w:bottom w:type="dxa" w:w="60"/>
              <w:right w:type="dxa" w:w="90"/>
            </w:tcMar>
            <w:vAlign w:val="center"/>
          </w:tcPr>
          <w:p>
            <w:pPr>
              <w:spacing w:after="40"/>
            </w:pPr>
            <w:r>
              <w:rPr>
                <w:b w:val="false"/>
                <w:bCs w:val="false"/>
              </w:rPr>
              <w:t xml:space="preserve"/>
            </w:r>
          </w:p>
        </w:tc>
        <w:tc>
          <w:tcPr>
            <w:tcW w:type="dxa" w:w="2500"/>
            <w:tcBorders>
              <w:top w:val="single" w:color="BFBFBF" w:sz="4"/>
              <w:left w:val="single" w:color="BFBFBF" w:sz="4"/>
              <w:bottom w:val="single" w:color="BFBFBF" w:sz="4"/>
              <w:right w:val="single" w:color="BFBFBF" w:sz="4"/>
            </w:tcBorders>
            <w:shd w:fill="F2F2F2" w:val="clear"/>
            <w:tcMar>
              <w:top w:type="dxa" w:w="60"/>
              <w:left w:type="dxa" w:w="90"/>
              <w:bottom w:type="dxa" w:w="60"/>
              <w:right w:type="dxa" w:w="90"/>
            </w:tcMar>
            <w:vAlign w:val="center"/>
          </w:tcPr>
          <w:p>
            <w:pPr>
              <w:spacing w:after="40"/>
            </w:pPr>
            <w:r>
              <w:rPr>
                <w:b/>
                <w:bCs/>
              </w:rPr>
              <w:t xml:space="preserve">Semester total</w:t>
            </w:r>
          </w:p>
        </w:tc>
        <w:tc>
          <w:tcPr>
            <w:tcW w:type="dxa" w:w="800"/>
            <w:tcBorders>
              <w:top w:val="single" w:color="BFBFBF" w:sz="4"/>
              <w:left w:val="single" w:color="BFBFBF" w:sz="4"/>
              <w:bottom w:val="single" w:color="BFBFBF" w:sz="4"/>
              <w:right w:val="single" w:color="BFBFBF" w:sz="4"/>
            </w:tcBorders>
            <w:shd w:fill="F2F2F2" w:val="clear"/>
            <w:tcMar>
              <w:top w:type="dxa" w:w="60"/>
              <w:left w:type="dxa" w:w="90"/>
              <w:bottom w:type="dxa" w:w="60"/>
              <w:right w:type="dxa" w:w="90"/>
            </w:tcMar>
            <w:vAlign w:val="center"/>
          </w:tcPr>
          <w:p>
            <w:pPr>
              <w:spacing w:after="40"/>
              <w:jc w:val="center"/>
            </w:pPr>
            <w:r>
              <w:rPr>
                <w:b/>
                <w:bCs/>
              </w:rPr>
              <w:t xml:space="preserve">10</w:t>
            </w:r>
          </w:p>
        </w:tc>
        <w:tc>
          <w:tcPr>
            <w:tcW w:type="dxa" w:w="800"/>
            <w:tcBorders>
              <w:top w:val="single" w:color="BFBFBF" w:sz="4"/>
              <w:left w:val="single" w:color="BFBFBF" w:sz="4"/>
              <w:bottom w:val="single" w:color="BFBFBF" w:sz="4"/>
              <w:right w:val="single" w:color="BFBFBF" w:sz="4"/>
            </w:tcBorders>
            <w:shd w:fill="F2F2F2" w:val="clear"/>
            <w:tcMar>
              <w:top w:type="dxa" w:w="60"/>
              <w:left w:type="dxa" w:w="90"/>
              <w:bottom w:type="dxa" w:w="60"/>
              <w:right w:type="dxa" w:w="90"/>
            </w:tcMar>
            <w:vAlign w:val="center"/>
          </w:tcPr>
          <w:p>
            <w:pPr>
              <w:spacing w:after="40"/>
              <w:jc w:val="center"/>
            </w:pPr>
            <w:r>
              <w:rPr>
                <w:b/>
                <w:bCs/>
              </w:rPr>
              <w:t xml:space="preserve">6</w:t>
            </w:r>
          </w:p>
        </w:tc>
        <w:tc>
          <w:tcPr>
            <w:tcW w:type="dxa" w:w="800"/>
            <w:tcBorders>
              <w:top w:val="single" w:color="BFBFBF" w:sz="4"/>
              <w:left w:val="single" w:color="BFBFBF" w:sz="4"/>
              <w:bottom w:val="single" w:color="BFBFBF" w:sz="4"/>
              <w:right w:val="single" w:color="BFBFBF" w:sz="4"/>
            </w:tcBorders>
            <w:shd w:fill="F2F2F2" w:val="clear"/>
            <w:tcMar>
              <w:top w:type="dxa" w:w="60"/>
              <w:left w:type="dxa" w:w="90"/>
              <w:bottom w:type="dxa" w:w="60"/>
              <w:right w:type="dxa" w:w="90"/>
            </w:tcMar>
            <w:vAlign w:val="center"/>
          </w:tcPr>
          <w:p>
            <w:pPr>
              <w:spacing w:after="40"/>
              <w:jc w:val="center"/>
            </w:pPr>
            <w:r>
              <w:rPr>
                <w:b/>
                <w:bCs/>
              </w:rPr>
              <w:t xml:space="preserve">0</w:t>
            </w:r>
          </w:p>
        </w:tc>
        <w:tc>
          <w:tcPr>
            <w:tcW w:type="dxa" w:w="700"/>
            <w:tcBorders>
              <w:top w:val="single" w:color="BFBFBF" w:sz="4"/>
              <w:left w:val="single" w:color="BFBFBF" w:sz="4"/>
              <w:bottom w:val="single" w:color="BFBFBF" w:sz="4"/>
              <w:right w:val="single" w:color="BFBFBF" w:sz="4"/>
            </w:tcBorders>
            <w:shd w:fill="F2F2F2" w:val="clear"/>
            <w:tcMar>
              <w:top w:type="dxa" w:w="60"/>
              <w:left w:type="dxa" w:w="90"/>
              <w:bottom w:type="dxa" w:w="60"/>
              <w:right w:type="dxa" w:w="90"/>
            </w:tcMar>
            <w:vAlign w:val="center"/>
          </w:tcPr>
          <w:p>
            <w:pPr>
              <w:spacing w:after="40"/>
              <w:jc w:val="center"/>
            </w:pPr>
            <w:r>
              <w:rPr>
                <w:b/>
                <w:bCs/>
              </w:rPr>
              <w:t xml:space="preserve">30</w:t>
            </w:r>
          </w:p>
        </w:tc>
        <w:tc>
          <w:tcPr>
            <w:tcW w:type="dxa" w:w="1400"/>
            <w:tcBorders>
              <w:top w:val="single" w:color="BFBFBF" w:sz="4"/>
              <w:left w:val="single" w:color="BFBFBF" w:sz="4"/>
              <w:bottom w:val="single" w:color="BFBFBF" w:sz="4"/>
              <w:right w:val="single" w:color="BFBFBF" w:sz="4"/>
            </w:tcBorders>
            <w:shd w:fill="F2F2F2" w:val="clear"/>
            <w:tcMar>
              <w:top w:type="dxa" w:w="60"/>
              <w:left w:type="dxa" w:w="90"/>
              <w:bottom w:type="dxa" w:w="60"/>
              <w:right w:type="dxa" w:w="90"/>
            </w:tcMar>
            <w:vAlign w:val="center"/>
          </w:tcPr>
          <w:p>
            <w:pPr>
              <w:spacing w:after="40"/>
            </w:pPr>
            <w:r>
              <w:rPr>
                <w:b w:val="false"/>
                <w:bCs w:val="false"/>
              </w:rPr>
              <w:t xml:space="preserve"/>
            </w:r>
          </w:p>
        </w:tc>
        <w:tc>
          <w:tcPr>
            <w:tcW w:type="dxa" w:w="1100"/>
            <w:tcBorders>
              <w:top w:val="single" w:color="BFBFBF" w:sz="4"/>
              <w:left w:val="single" w:color="BFBFBF" w:sz="4"/>
              <w:bottom w:val="single" w:color="BFBFBF" w:sz="4"/>
              <w:right w:val="single" w:color="BFBFBF" w:sz="4"/>
            </w:tcBorders>
            <w:shd w:fill="F2F2F2" w:val="clear"/>
            <w:tcMar>
              <w:top w:type="dxa" w:w="60"/>
              <w:left w:type="dxa" w:w="90"/>
              <w:bottom w:type="dxa" w:w="60"/>
              <w:right w:type="dxa" w:w="90"/>
            </w:tcMar>
            <w:vAlign w:val="center"/>
          </w:tcPr>
          <w:p>
            <w:pPr>
              <w:spacing w:after="40"/>
            </w:pPr>
            <w:r>
              <w:rPr>
                <w:b w:val="false"/>
                <w:bCs w:val="false"/>
              </w:rPr>
              <w:t xml:space="preserve"/>
            </w:r>
          </w:p>
        </w:tc>
      </w:tr>
    </w:tbl>
    <w:p>
      <w:pPr>
        <w:spacing w:after="100"/>
      </w:pPr>
      <w:r>
        <w:rPr>
          <w:b/>
          <w:bCs/>
        </w:rPr>
        <w:t xml:space="preserve">Year 1: Semester 2</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
        <w:gridCol w:w="2500"/>
        <w:gridCol w:w="800"/>
        <w:gridCol w:w="800"/>
        <w:gridCol w:w="800"/>
        <w:gridCol w:w="700"/>
        <w:gridCol w:w="1400"/>
        <w:gridCol w:w="1100"/>
      </w:tblGrid>
      <w:tr>
        <w:trPr>
          <w:tblHeader/>
        </w:trPr>
        <w:tc>
          <w:tcPr>
            <w:tcW w:type="dxa" w:w="900"/>
            <w:tcBorders>
              <w:top w:val="single" w:color="BFBFBF" w:sz="4"/>
              <w:left w:val="single" w:color="BFBFBF" w:sz="4"/>
              <w:bottom w:val="single" w:color="BFBFBF" w:sz="4"/>
              <w:right w:val="single" w:color="BFBFBF" w:sz="4"/>
            </w:tcBorders>
            <w:shd w:fill="D9D9D9" w:val="clear"/>
            <w:tcMar>
              <w:top w:type="dxa" w:w="60"/>
              <w:left w:type="dxa" w:w="90"/>
              <w:bottom w:type="dxa" w:w="60"/>
              <w:right w:type="dxa" w:w="90"/>
            </w:tcMar>
            <w:vAlign w:val="center"/>
          </w:tcPr>
          <w:p>
            <w:pPr>
              <w:spacing w:after="40"/>
            </w:pPr>
            <w:r>
              <w:rPr>
                <w:b/>
                <w:bCs/>
              </w:rPr>
              <w:t xml:space="preserve">Code</w:t>
            </w:r>
          </w:p>
        </w:tc>
        <w:tc>
          <w:tcPr>
            <w:tcW w:type="dxa" w:w="2500"/>
            <w:tcBorders>
              <w:top w:val="single" w:color="BFBFBF" w:sz="4"/>
              <w:left w:val="single" w:color="BFBFBF" w:sz="4"/>
              <w:bottom w:val="single" w:color="BFBFBF" w:sz="4"/>
              <w:right w:val="single" w:color="BFBFBF" w:sz="4"/>
            </w:tcBorders>
            <w:shd w:fill="D9D9D9" w:val="clear"/>
            <w:tcMar>
              <w:top w:type="dxa" w:w="60"/>
              <w:left w:type="dxa" w:w="90"/>
              <w:bottom w:type="dxa" w:w="60"/>
              <w:right w:type="dxa" w:w="90"/>
            </w:tcMar>
            <w:vAlign w:val="center"/>
          </w:tcPr>
          <w:p>
            <w:pPr>
              <w:spacing w:after="40"/>
            </w:pPr>
            <w:r>
              <w:rPr>
                <w:b/>
                <w:bCs/>
              </w:rPr>
              <w:t xml:space="preserve">Course</w:t>
            </w:r>
          </w:p>
        </w:tc>
        <w:tc>
          <w:tcPr>
            <w:tcW w:type="dxa" w:w="800"/>
            <w:tcBorders>
              <w:top w:val="single" w:color="BFBFBF" w:sz="4"/>
              <w:left w:val="single" w:color="BFBFBF" w:sz="4"/>
              <w:bottom w:val="single" w:color="BFBFBF" w:sz="4"/>
              <w:right w:val="single" w:color="BFBFBF" w:sz="4"/>
            </w:tcBorders>
            <w:shd w:fill="D9D9D9" w:val="clear"/>
            <w:tcMar>
              <w:top w:type="dxa" w:w="60"/>
              <w:left w:type="dxa" w:w="90"/>
              <w:bottom w:type="dxa" w:w="60"/>
              <w:right w:type="dxa" w:w="90"/>
            </w:tcMar>
            <w:vAlign w:val="center"/>
          </w:tcPr>
          <w:p>
            <w:pPr>
              <w:spacing w:after="40"/>
            </w:pPr>
            <w:r>
              <w:rPr>
                <w:b/>
                <w:bCs/>
              </w:rPr>
              <w:t xml:space="preserve">Theory
h/wk</w:t>
            </w:r>
          </w:p>
        </w:tc>
        <w:tc>
          <w:tcPr>
            <w:tcW w:type="dxa" w:w="800"/>
            <w:tcBorders>
              <w:top w:val="single" w:color="BFBFBF" w:sz="4"/>
              <w:left w:val="single" w:color="BFBFBF" w:sz="4"/>
              <w:bottom w:val="single" w:color="BFBFBF" w:sz="4"/>
              <w:right w:val="single" w:color="BFBFBF" w:sz="4"/>
            </w:tcBorders>
            <w:shd w:fill="D9D9D9" w:val="clear"/>
            <w:tcMar>
              <w:top w:type="dxa" w:w="60"/>
              <w:left w:type="dxa" w:w="90"/>
              <w:bottom w:type="dxa" w:w="60"/>
              <w:right w:type="dxa" w:w="90"/>
            </w:tcMar>
            <w:vAlign w:val="center"/>
          </w:tcPr>
          <w:p>
            <w:pPr>
              <w:spacing w:after="40"/>
            </w:pPr>
            <w:r>
              <w:rPr>
                <w:b/>
                <w:bCs/>
              </w:rPr>
              <w:t xml:space="preserve">Practical
h/wk</w:t>
            </w:r>
          </w:p>
        </w:tc>
        <w:tc>
          <w:tcPr>
            <w:tcW w:type="dxa" w:w="800"/>
            <w:tcBorders>
              <w:top w:val="single" w:color="BFBFBF" w:sz="4"/>
              <w:left w:val="single" w:color="BFBFBF" w:sz="4"/>
              <w:bottom w:val="single" w:color="BFBFBF" w:sz="4"/>
              <w:right w:val="single" w:color="BFBFBF" w:sz="4"/>
            </w:tcBorders>
            <w:shd w:fill="D9D9D9" w:val="clear"/>
            <w:tcMar>
              <w:top w:type="dxa" w:w="60"/>
              <w:left w:type="dxa" w:w="90"/>
              <w:bottom w:type="dxa" w:w="60"/>
              <w:right w:type="dxa" w:w="90"/>
            </w:tcMar>
            <w:vAlign w:val="center"/>
          </w:tcPr>
          <w:p>
            <w:pPr>
              <w:spacing w:after="40"/>
            </w:pPr>
            <w:r>
              <w:rPr>
                <w:b/>
                <w:bCs/>
              </w:rPr>
              <w:t xml:space="preserve">Clinical
h/wk</w:t>
            </w:r>
          </w:p>
        </w:tc>
        <w:tc>
          <w:tcPr>
            <w:tcW w:type="dxa" w:w="700"/>
            <w:tcBorders>
              <w:top w:val="single" w:color="BFBFBF" w:sz="4"/>
              <w:left w:val="single" w:color="BFBFBF" w:sz="4"/>
              <w:bottom w:val="single" w:color="BFBFBF" w:sz="4"/>
              <w:right w:val="single" w:color="BFBFBF" w:sz="4"/>
            </w:tcBorders>
            <w:shd w:fill="D9D9D9" w:val="clear"/>
            <w:tcMar>
              <w:top w:type="dxa" w:w="60"/>
              <w:left w:type="dxa" w:w="90"/>
              <w:bottom w:type="dxa" w:w="60"/>
              <w:right w:type="dxa" w:w="90"/>
            </w:tcMar>
            <w:vAlign w:val="center"/>
          </w:tcPr>
          <w:p>
            <w:pPr>
              <w:spacing w:after="40"/>
            </w:pPr>
            <w:r>
              <w:rPr>
                <w:b/>
                <w:bCs/>
              </w:rPr>
              <w:t xml:space="preserve">ECTS</w:t>
            </w:r>
          </w:p>
        </w:tc>
        <w:tc>
          <w:tcPr>
            <w:tcW w:type="dxa" w:w="1400"/>
            <w:tcBorders>
              <w:top w:val="single" w:color="BFBFBF" w:sz="4"/>
              <w:left w:val="single" w:color="BFBFBF" w:sz="4"/>
              <w:bottom w:val="single" w:color="BFBFBF" w:sz="4"/>
              <w:right w:val="single" w:color="BFBFBF" w:sz="4"/>
            </w:tcBorders>
            <w:shd w:fill="D9D9D9" w:val="clear"/>
            <w:tcMar>
              <w:top w:type="dxa" w:w="60"/>
              <w:left w:type="dxa" w:w="90"/>
              <w:bottom w:type="dxa" w:w="60"/>
              <w:right w:type="dxa" w:w="90"/>
            </w:tcMar>
            <w:vAlign w:val="center"/>
          </w:tcPr>
          <w:p>
            <w:pPr>
              <w:spacing w:after="40"/>
            </w:pPr>
            <w:r>
              <w:rPr>
                <w:b/>
                <w:bCs/>
              </w:rPr>
              <w:t xml:space="preserve">Category</w:t>
            </w:r>
          </w:p>
        </w:tc>
        <w:tc>
          <w:tcPr>
            <w:tcW w:type="dxa" w:w="1100"/>
            <w:tcBorders>
              <w:top w:val="single" w:color="BFBFBF" w:sz="4"/>
              <w:left w:val="single" w:color="BFBFBF" w:sz="4"/>
              <w:bottom w:val="single" w:color="BFBFBF" w:sz="4"/>
              <w:right w:val="single" w:color="BFBFBF" w:sz="4"/>
            </w:tcBorders>
            <w:shd w:fill="D9D9D9" w:val="clear"/>
            <w:tcMar>
              <w:top w:type="dxa" w:w="60"/>
              <w:left w:type="dxa" w:w="90"/>
              <w:bottom w:type="dxa" w:w="60"/>
              <w:right w:type="dxa" w:w="90"/>
            </w:tcMar>
            <w:vAlign w:val="center"/>
          </w:tcPr>
          <w:p>
            <w:pPr>
              <w:spacing w:after="40"/>
            </w:pPr>
            <w:r>
              <w:rPr>
                <w:b/>
                <w:bCs/>
              </w:rPr>
              <w:t xml:space="preserve">Pre-req.</w:t>
            </w:r>
          </w:p>
        </w:tc>
      </w:tr>
      <w:tr>
        <w:tc>
          <w:tcPr>
            <w:tcW w:type="dxa" w:w="9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DA120</w:t>
            </w:r>
          </w:p>
        </w:tc>
        <w:tc>
          <w:tcPr>
            <w:tcW w:type="dxa" w:w="2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Oral Pathology</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2</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2</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0</w:t>
            </w:r>
          </w:p>
        </w:tc>
        <w:tc>
          <w:tcPr>
            <w:tcW w:type="dxa" w:w="7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6</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Department</w:t>
            </w:r>
          </w:p>
        </w:tc>
        <w:tc>
          <w:tcPr>
            <w:tcW w:type="dxa" w:w="11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DA113 *</w:t>
            </w:r>
          </w:p>
        </w:tc>
      </w:tr>
      <w:tr>
        <w:tc>
          <w:tcPr>
            <w:tcW w:type="dxa" w:w="9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DA121</w:t>
            </w:r>
          </w:p>
        </w:tc>
        <w:tc>
          <w:tcPr>
            <w:tcW w:type="dxa" w:w="2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Dental Materials</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2</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2</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0</w:t>
            </w:r>
          </w:p>
        </w:tc>
        <w:tc>
          <w:tcPr>
            <w:tcW w:type="dxa" w:w="7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7</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Department</w:t>
            </w:r>
          </w:p>
        </w:tc>
        <w:tc>
          <w:tcPr>
            <w:tcW w:type="dxa" w:w="11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DA111</w:t>
            </w:r>
          </w:p>
        </w:tc>
      </w:tr>
      <w:tr>
        <w:tc>
          <w:tcPr>
            <w:tcW w:type="dxa" w:w="9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DA126</w:t>
            </w:r>
          </w:p>
        </w:tc>
        <w:tc>
          <w:tcPr>
            <w:tcW w:type="dxa" w:w="2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Medical Microbiology</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2</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2</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0</w:t>
            </w:r>
          </w:p>
        </w:tc>
        <w:tc>
          <w:tcPr>
            <w:tcW w:type="dxa" w:w="7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7</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Degree</w:t>
            </w:r>
          </w:p>
        </w:tc>
        <w:tc>
          <w:tcPr>
            <w:tcW w:type="dxa" w:w="11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w:t>
            </w:r>
          </w:p>
        </w:tc>
      </w:tr>
      <w:tr>
        <w:tc>
          <w:tcPr>
            <w:tcW w:type="dxa" w:w="9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DA127</w:t>
            </w:r>
          </w:p>
        </w:tc>
        <w:tc>
          <w:tcPr>
            <w:tcW w:type="dxa" w:w="2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Oral Physiology</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2</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0</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0</w:t>
            </w:r>
          </w:p>
        </w:tc>
        <w:tc>
          <w:tcPr>
            <w:tcW w:type="dxa" w:w="7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5</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Department</w:t>
            </w:r>
          </w:p>
        </w:tc>
        <w:tc>
          <w:tcPr>
            <w:tcW w:type="dxa" w:w="11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w:t>
            </w:r>
          </w:p>
        </w:tc>
      </w:tr>
      <w:tr>
        <w:tc>
          <w:tcPr>
            <w:tcW w:type="dxa" w:w="9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DA124</w:t>
            </w:r>
          </w:p>
        </w:tc>
        <w:tc>
          <w:tcPr>
            <w:tcW w:type="dxa" w:w="2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Medical &amp; Dental Ethics</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2</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0</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0</w:t>
            </w:r>
          </w:p>
        </w:tc>
        <w:tc>
          <w:tcPr>
            <w:tcW w:type="dxa" w:w="7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5</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Department</w:t>
            </w:r>
          </w:p>
        </w:tc>
        <w:tc>
          <w:tcPr>
            <w:tcW w:type="dxa" w:w="11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w:t>
            </w:r>
          </w:p>
        </w:tc>
      </w:tr>
      <w:tr>
        <w:tc>
          <w:tcPr>
            <w:tcW w:type="dxa" w:w="900"/>
            <w:tcBorders>
              <w:top w:val="single" w:color="BFBFBF" w:sz="4"/>
              <w:left w:val="single" w:color="BFBFBF" w:sz="4"/>
              <w:bottom w:val="single" w:color="BFBFBF" w:sz="4"/>
              <w:right w:val="single" w:color="BFBFBF" w:sz="4"/>
            </w:tcBorders>
            <w:shd w:fill="F2F2F2" w:val="clear"/>
            <w:tcMar>
              <w:top w:type="dxa" w:w="60"/>
              <w:left w:type="dxa" w:w="90"/>
              <w:bottom w:type="dxa" w:w="60"/>
              <w:right w:type="dxa" w:w="90"/>
            </w:tcMar>
            <w:vAlign w:val="center"/>
          </w:tcPr>
          <w:p>
            <w:pPr>
              <w:spacing w:after="40"/>
            </w:pPr>
            <w:r>
              <w:rPr>
                <w:b w:val="false"/>
                <w:bCs w:val="false"/>
              </w:rPr>
              <w:t xml:space="preserve"/>
            </w:r>
          </w:p>
        </w:tc>
        <w:tc>
          <w:tcPr>
            <w:tcW w:type="dxa" w:w="2500"/>
            <w:tcBorders>
              <w:top w:val="single" w:color="BFBFBF" w:sz="4"/>
              <w:left w:val="single" w:color="BFBFBF" w:sz="4"/>
              <w:bottom w:val="single" w:color="BFBFBF" w:sz="4"/>
              <w:right w:val="single" w:color="BFBFBF" w:sz="4"/>
            </w:tcBorders>
            <w:shd w:fill="F2F2F2" w:val="clear"/>
            <w:tcMar>
              <w:top w:type="dxa" w:w="60"/>
              <w:left w:type="dxa" w:w="90"/>
              <w:bottom w:type="dxa" w:w="60"/>
              <w:right w:type="dxa" w:w="90"/>
            </w:tcMar>
            <w:vAlign w:val="center"/>
          </w:tcPr>
          <w:p>
            <w:pPr>
              <w:spacing w:after="40"/>
            </w:pPr>
            <w:r>
              <w:rPr>
                <w:b/>
                <w:bCs/>
              </w:rPr>
              <w:t xml:space="preserve">Semester total</w:t>
            </w:r>
          </w:p>
        </w:tc>
        <w:tc>
          <w:tcPr>
            <w:tcW w:type="dxa" w:w="800"/>
            <w:tcBorders>
              <w:top w:val="single" w:color="BFBFBF" w:sz="4"/>
              <w:left w:val="single" w:color="BFBFBF" w:sz="4"/>
              <w:bottom w:val="single" w:color="BFBFBF" w:sz="4"/>
              <w:right w:val="single" w:color="BFBFBF" w:sz="4"/>
            </w:tcBorders>
            <w:shd w:fill="F2F2F2" w:val="clear"/>
            <w:tcMar>
              <w:top w:type="dxa" w:w="60"/>
              <w:left w:type="dxa" w:w="90"/>
              <w:bottom w:type="dxa" w:w="60"/>
              <w:right w:type="dxa" w:w="90"/>
            </w:tcMar>
            <w:vAlign w:val="center"/>
          </w:tcPr>
          <w:p>
            <w:pPr>
              <w:spacing w:after="40"/>
              <w:jc w:val="center"/>
            </w:pPr>
            <w:r>
              <w:rPr>
                <w:b/>
                <w:bCs/>
              </w:rPr>
              <w:t xml:space="preserve">10</w:t>
            </w:r>
          </w:p>
        </w:tc>
        <w:tc>
          <w:tcPr>
            <w:tcW w:type="dxa" w:w="800"/>
            <w:tcBorders>
              <w:top w:val="single" w:color="BFBFBF" w:sz="4"/>
              <w:left w:val="single" w:color="BFBFBF" w:sz="4"/>
              <w:bottom w:val="single" w:color="BFBFBF" w:sz="4"/>
              <w:right w:val="single" w:color="BFBFBF" w:sz="4"/>
            </w:tcBorders>
            <w:shd w:fill="F2F2F2" w:val="clear"/>
            <w:tcMar>
              <w:top w:type="dxa" w:w="60"/>
              <w:left w:type="dxa" w:w="90"/>
              <w:bottom w:type="dxa" w:w="60"/>
              <w:right w:type="dxa" w:w="90"/>
            </w:tcMar>
            <w:vAlign w:val="center"/>
          </w:tcPr>
          <w:p>
            <w:pPr>
              <w:spacing w:after="40"/>
              <w:jc w:val="center"/>
            </w:pPr>
            <w:r>
              <w:rPr>
                <w:b/>
                <w:bCs/>
              </w:rPr>
              <w:t xml:space="preserve">6</w:t>
            </w:r>
          </w:p>
        </w:tc>
        <w:tc>
          <w:tcPr>
            <w:tcW w:type="dxa" w:w="800"/>
            <w:tcBorders>
              <w:top w:val="single" w:color="BFBFBF" w:sz="4"/>
              <w:left w:val="single" w:color="BFBFBF" w:sz="4"/>
              <w:bottom w:val="single" w:color="BFBFBF" w:sz="4"/>
              <w:right w:val="single" w:color="BFBFBF" w:sz="4"/>
            </w:tcBorders>
            <w:shd w:fill="F2F2F2" w:val="clear"/>
            <w:tcMar>
              <w:top w:type="dxa" w:w="60"/>
              <w:left w:type="dxa" w:w="90"/>
              <w:bottom w:type="dxa" w:w="60"/>
              <w:right w:type="dxa" w:w="90"/>
            </w:tcMar>
            <w:vAlign w:val="center"/>
          </w:tcPr>
          <w:p>
            <w:pPr>
              <w:spacing w:after="40"/>
              <w:jc w:val="center"/>
            </w:pPr>
            <w:r>
              <w:rPr>
                <w:b/>
                <w:bCs/>
              </w:rPr>
              <w:t xml:space="preserve">0</w:t>
            </w:r>
          </w:p>
        </w:tc>
        <w:tc>
          <w:tcPr>
            <w:tcW w:type="dxa" w:w="700"/>
            <w:tcBorders>
              <w:top w:val="single" w:color="BFBFBF" w:sz="4"/>
              <w:left w:val="single" w:color="BFBFBF" w:sz="4"/>
              <w:bottom w:val="single" w:color="BFBFBF" w:sz="4"/>
              <w:right w:val="single" w:color="BFBFBF" w:sz="4"/>
            </w:tcBorders>
            <w:shd w:fill="F2F2F2" w:val="clear"/>
            <w:tcMar>
              <w:top w:type="dxa" w:w="60"/>
              <w:left w:type="dxa" w:w="90"/>
              <w:bottom w:type="dxa" w:w="60"/>
              <w:right w:type="dxa" w:w="90"/>
            </w:tcMar>
            <w:vAlign w:val="center"/>
          </w:tcPr>
          <w:p>
            <w:pPr>
              <w:spacing w:after="40"/>
              <w:jc w:val="center"/>
            </w:pPr>
            <w:r>
              <w:rPr>
                <w:b/>
                <w:bCs/>
              </w:rPr>
              <w:t xml:space="preserve">30</w:t>
            </w:r>
          </w:p>
        </w:tc>
        <w:tc>
          <w:tcPr>
            <w:tcW w:type="dxa" w:w="1400"/>
            <w:tcBorders>
              <w:top w:val="single" w:color="BFBFBF" w:sz="4"/>
              <w:left w:val="single" w:color="BFBFBF" w:sz="4"/>
              <w:bottom w:val="single" w:color="BFBFBF" w:sz="4"/>
              <w:right w:val="single" w:color="BFBFBF" w:sz="4"/>
            </w:tcBorders>
            <w:shd w:fill="F2F2F2" w:val="clear"/>
            <w:tcMar>
              <w:top w:type="dxa" w:w="60"/>
              <w:left w:type="dxa" w:w="90"/>
              <w:bottom w:type="dxa" w:w="60"/>
              <w:right w:type="dxa" w:w="90"/>
            </w:tcMar>
            <w:vAlign w:val="center"/>
          </w:tcPr>
          <w:p>
            <w:pPr>
              <w:spacing w:after="40"/>
            </w:pPr>
            <w:r>
              <w:rPr>
                <w:b w:val="false"/>
                <w:bCs w:val="false"/>
              </w:rPr>
              <w:t xml:space="preserve"/>
            </w:r>
          </w:p>
        </w:tc>
        <w:tc>
          <w:tcPr>
            <w:tcW w:type="dxa" w:w="1100"/>
            <w:tcBorders>
              <w:top w:val="single" w:color="BFBFBF" w:sz="4"/>
              <w:left w:val="single" w:color="BFBFBF" w:sz="4"/>
              <w:bottom w:val="single" w:color="BFBFBF" w:sz="4"/>
              <w:right w:val="single" w:color="BFBFBF" w:sz="4"/>
            </w:tcBorders>
            <w:shd w:fill="F2F2F2" w:val="clear"/>
            <w:tcMar>
              <w:top w:type="dxa" w:w="60"/>
              <w:left w:type="dxa" w:w="90"/>
              <w:bottom w:type="dxa" w:w="60"/>
              <w:right w:type="dxa" w:w="90"/>
            </w:tcMar>
            <w:vAlign w:val="center"/>
          </w:tcPr>
          <w:p>
            <w:pPr>
              <w:spacing w:after="40"/>
            </w:pPr>
            <w:r>
              <w:rPr>
                <w:b w:val="false"/>
                <w:bCs w:val="false"/>
              </w:rPr>
              <w:t xml:space="preserve"/>
            </w:r>
          </w:p>
        </w:tc>
      </w:tr>
    </w:tbl>
    <w:p>
      <w:pPr>
        <w:spacing w:after="160"/>
      </w:pPr>
      <w:r>
        <w:rPr>
          <w:i/>
          <w:iCs/>
          <w:sz w:val="18"/>
          <w:szCs w:val="18"/>
        </w:rPr>
        <w:t xml:space="preserve">* This prerequisite is recorded as "DA113" in the department's 2026–2027 syllabus table but does not correspond to any course code in the current or previous module list; it should be corrected by the department.</w:t>
      </w:r>
    </w:p>
    <w:p>
      <w:pPr>
        <w:spacing w:after="100"/>
      </w:pPr>
      <w:r>
        <w:rPr>
          <w:b/>
          <w:bCs/>
        </w:rPr>
        <w:t xml:space="preserve">Year 2: Semester 3</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
        <w:gridCol w:w="2500"/>
        <w:gridCol w:w="800"/>
        <w:gridCol w:w="800"/>
        <w:gridCol w:w="800"/>
        <w:gridCol w:w="700"/>
        <w:gridCol w:w="1400"/>
        <w:gridCol w:w="1100"/>
      </w:tblGrid>
      <w:tr>
        <w:trPr>
          <w:tblHeader/>
        </w:trPr>
        <w:tc>
          <w:tcPr>
            <w:tcW w:type="dxa" w:w="900"/>
            <w:tcBorders>
              <w:top w:val="single" w:color="BFBFBF" w:sz="4"/>
              <w:left w:val="single" w:color="BFBFBF" w:sz="4"/>
              <w:bottom w:val="single" w:color="BFBFBF" w:sz="4"/>
              <w:right w:val="single" w:color="BFBFBF" w:sz="4"/>
            </w:tcBorders>
            <w:shd w:fill="D9D9D9" w:val="clear"/>
            <w:tcMar>
              <w:top w:type="dxa" w:w="60"/>
              <w:left w:type="dxa" w:w="90"/>
              <w:bottom w:type="dxa" w:w="60"/>
              <w:right w:type="dxa" w:w="90"/>
            </w:tcMar>
            <w:vAlign w:val="center"/>
          </w:tcPr>
          <w:p>
            <w:pPr>
              <w:spacing w:after="40"/>
            </w:pPr>
            <w:r>
              <w:rPr>
                <w:b/>
                <w:bCs/>
              </w:rPr>
              <w:t xml:space="preserve">Code</w:t>
            </w:r>
          </w:p>
        </w:tc>
        <w:tc>
          <w:tcPr>
            <w:tcW w:type="dxa" w:w="2500"/>
            <w:tcBorders>
              <w:top w:val="single" w:color="BFBFBF" w:sz="4"/>
              <w:left w:val="single" w:color="BFBFBF" w:sz="4"/>
              <w:bottom w:val="single" w:color="BFBFBF" w:sz="4"/>
              <w:right w:val="single" w:color="BFBFBF" w:sz="4"/>
            </w:tcBorders>
            <w:shd w:fill="D9D9D9" w:val="clear"/>
            <w:tcMar>
              <w:top w:type="dxa" w:w="60"/>
              <w:left w:type="dxa" w:w="90"/>
              <w:bottom w:type="dxa" w:w="60"/>
              <w:right w:type="dxa" w:w="90"/>
            </w:tcMar>
            <w:vAlign w:val="center"/>
          </w:tcPr>
          <w:p>
            <w:pPr>
              <w:spacing w:after="40"/>
            </w:pPr>
            <w:r>
              <w:rPr>
                <w:b/>
                <w:bCs/>
              </w:rPr>
              <w:t xml:space="preserve">Course</w:t>
            </w:r>
          </w:p>
        </w:tc>
        <w:tc>
          <w:tcPr>
            <w:tcW w:type="dxa" w:w="800"/>
            <w:tcBorders>
              <w:top w:val="single" w:color="BFBFBF" w:sz="4"/>
              <w:left w:val="single" w:color="BFBFBF" w:sz="4"/>
              <w:bottom w:val="single" w:color="BFBFBF" w:sz="4"/>
              <w:right w:val="single" w:color="BFBFBF" w:sz="4"/>
            </w:tcBorders>
            <w:shd w:fill="D9D9D9" w:val="clear"/>
            <w:tcMar>
              <w:top w:type="dxa" w:w="60"/>
              <w:left w:type="dxa" w:w="90"/>
              <w:bottom w:type="dxa" w:w="60"/>
              <w:right w:type="dxa" w:w="90"/>
            </w:tcMar>
            <w:vAlign w:val="center"/>
          </w:tcPr>
          <w:p>
            <w:pPr>
              <w:spacing w:after="40"/>
            </w:pPr>
            <w:r>
              <w:rPr>
                <w:b/>
                <w:bCs/>
              </w:rPr>
              <w:t xml:space="preserve">Theory
h/wk</w:t>
            </w:r>
          </w:p>
        </w:tc>
        <w:tc>
          <w:tcPr>
            <w:tcW w:type="dxa" w:w="800"/>
            <w:tcBorders>
              <w:top w:val="single" w:color="BFBFBF" w:sz="4"/>
              <w:left w:val="single" w:color="BFBFBF" w:sz="4"/>
              <w:bottom w:val="single" w:color="BFBFBF" w:sz="4"/>
              <w:right w:val="single" w:color="BFBFBF" w:sz="4"/>
            </w:tcBorders>
            <w:shd w:fill="D9D9D9" w:val="clear"/>
            <w:tcMar>
              <w:top w:type="dxa" w:w="60"/>
              <w:left w:type="dxa" w:w="90"/>
              <w:bottom w:type="dxa" w:w="60"/>
              <w:right w:type="dxa" w:w="90"/>
            </w:tcMar>
            <w:vAlign w:val="center"/>
          </w:tcPr>
          <w:p>
            <w:pPr>
              <w:spacing w:after="40"/>
            </w:pPr>
            <w:r>
              <w:rPr>
                <w:b/>
                <w:bCs/>
              </w:rPr>
              <w:t xml:space="preserve">Practical
h/wk</w:t>
            </w:r>
          </w:p>
        </w:tc>
        <w:tc>
          <w:tcPr>
            <w:tcW w:type="dxa" w:w="800"/>
            <w:tcBorders>
              <w:top w:val="single" w:color="BFBFBF" w:sz="4"/>
              <w:left w:val="single" w:color="BFBFBF" w:sz="4"/>
              <w:bottom w:val="single" w:color="BFBFBF" w:sz="4"/>
              <w:right w:val="single" w:color="BFBFBF" w:sz="4"/>
            </w:tcBorders>
            <w:shd w:fill="D9D9D9" w:val="clear"/>
            <w:tcMar>
              <w:top w:type="dxa" w:w="60"/>
              <w:left w:type="dxa" w:w="90"/>
              <w:bottom w:type="dxa" w:w="60"/>
              <w:right w:type="dxa" w:w="90"/>
            </w:tcMar>
            <w:vAlign w:val="center"/>
          </w:tcPr>
          <w:p>
            <w:pPr>
              <w:spacing w:after="40"/>
            </w:pPr>
            <w:r>
              <w:rPr>
                <w:b/>
                <w:bCs/>
              </w:rPr>
              <w:t xml:space="preserve">Clinical
h/wk</w:t>
            </w:r>
          </w:p>
        </w:tc>
        <w:tc>
          <w:tcPr>
            <w:tcW w:type="dxa" w:w="700"/>
            <w:tcBorders>
              <w:top w:val="single" w:color="BFBFBF" w:sz="4"/>
              <w:left w:val="single" w:color="BFBFBF" w:sz="4"/>
              <w:bottom w:val="single" w:color="BFBFBF" w:sz="4"/>
              <w:right w:val="single" w:color="BFBFBF" w:sz="4"/>
            </w:tcBorders>
            <w:shd w:fill="D9D9D9" w:val="clear"/>
            <w:tcMar>
              <w:top w:type="dxa" w:w="60"/>
              <w:left w:type="dxa" w:w="90"/>
              <w:bottom w:type="dxa" w:w="60"/>
              <w:right w:type="dxa" w:w="90"/>
            </w:tcMar>
            <w:vAlign w:val="center"/>
          </w:tcPr>
          <w:p>
            <w:pPr>
              <w:spacing w:after="40"/>
            </w:pPr>
            <w:r>
              <w:rPr>
                <w:b/>
                <w:bCs/>
              </w:rPr>
              <w:t xml:space="preserve">ECTS</w:t>
            </w:r>
          </w:p>
        </w:tc>
        <w:tc>
          <w:tcPr>
            <w:tcW w:type="dxa" w:w="1400"/>
            <w:tcBorders>
              <w:top w:val="single" w:color="BFBFBF" w:sz="4"/>
              <w:left w:val="single" w:color="BFBFBF" w:sz="4"/>
              <w:bottom w:val="single" w:color="BFBFBF" w:sz="4"/>
              <w:right w:val="single" w:color="BFBFBF" w:sz="4"/>
            </w:tcBorders>
            <w:shd w:fill="D9D9D9" w:val="clear"/>
            <w:tcMar>
              <w:top w:type="dxa" w:w="60"/>
              <w:left w:type="dxa" w:w="90"/>
              <w:bottom w:type="dxa" w:w="60"/>
              <w:right w:type="dxa" w:w="90"/>
            </w:tcMar>
            <w:vAlign w:val="center"/>
          </w:tcPr>
          <w:p>
            <w:pPr>
              <w:spacing w:after="40"/>
            </w:pPr>
            <w:r>
              <w:rPr>
                <w:b/>
                <w:bCs/>
              </w:rPr>
              <w:t xml:space="preserve">Category</w:t>
            </w:r>
          </w:p>
        </w:tc>
        <w:tc>
          <w:tcPr>
            <w:tcW w:type="dxa" w:w="1100"/>
            <w:tcBorders>
              <w:top w:val="single" w:color="BFBFBF" w:sz="4"/>
              <w:left w:val="single" w:color="BFBFBF" w:sz="4"/>
              <w:bottom w:val="single" w:color="BFBFBF" w:sz="4"/>
              <w:right w:val="single" w:color="BFBFBF" w:sz="4"/>
            </w:tcBorders>
            <w:shd w:fill="D9D9D9" w:val="clear"/>
            <w:tcMar>
              <w:top w:type="dxa" w:w="60"/>
              <w:left w:type="dxa" w:w="90"/>
              <w:bottom w:type="dxa" w:w="60"/>
              <w:right w:type="dxa" w:w="90"/>
            </w:tcMar>
            <w:vAlign w:val="center"/>
          </w:tcPr>
          <w:p>
            <w:pPr>
              <w:spacing w:after="40"/>
            </w:pPr>
            <w:r>
              <w:rPr>
                <w:b/>
                <w:bCs/>
              </w:rPr>
              <w:t xml:space="preserve">Pre-req.</w:t>
            </w:r>
          </w:p>
        </w:tc>
      </w:tr>
      <w:tr>
        <w:tc>
          <w:tcPr>
            <w:tcW w:type="dxa" w:w="9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DA237</w:t>
            </w:r>
          </w:p>
        </w:tc>
        <w:tc>
          <w:tcPr>
            <w:tcW w:type="dxa" w:w="2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Emergency in Dental Office</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2</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0</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0</w:t>
            </w:r>
          </w:p>
        </w:tc>
        <w:tc>
          <w:tcPr>
            <w:tcW w:type="dxa" w:w="7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5</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Department</w:t>
            </w:r>
          </w:p>
        </w:tc>
        <w:tc>
          <w:tcPr>
            <w:tcW w:type="dxa" w:w="11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w:t>
            </w:r>
          </w:p>
        </w:tc>
      </w:tr>
      <w:tr>
        <w:tc>
          <w:tcPr>
            <w:tcW w:type="dxa" w:w="9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DA238</w:t>
            </w:r>
          </w:p>
        </w:tc>
        <w:tc>
          <w:tcPr>
            <w:tcW w:type="dxa" w:w="2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Clinical Dental Assisting I</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2</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0</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3</w:t>
            </w:r>
          </w:p>
        </w:tc>
        <w:tc>
          <w:tcPr>
            <w:tcW w:type="dxa" w:w="7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5</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Department</w:t>
            </w:r>
          </w:p>
        </w:tc>
        <w:tc>
          <w:tcPr>
            <w:tcW w:type="dxa" w:w="11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DA112</w:t>
            </w:r>
          </w:p>
        </w:tc>
      </w:tr>
      <w:tr>
        <w:tc>
          <w:tcPr>
            <w:tcW w:type="dxa" w:w="9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DA239</w:t>
            </w:r>
          </w:p>
        </w:tc>
        <w:tc>
          <w:tcPr>
            <w:tcW w:type="dxa" w:w="2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Pharmacology &amp; Pain Management</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2</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0</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0</w:t>
            </w:r>
          </w:p>
        </w:tc>
        <w:tc>
          <w:tcPr>
            <w:tcW w:type="dxa" w:w="7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5</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Degree</w:t>
            </w:r>
          </w:p>
        </w:tc>
        <w:tc>
          <w:tcPr>
            <w:tcW w:type="dxa" w:w="11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w:t>
            </w:r>
          </w:p>
        </w:tc>
      </w:tr>
      <w:tr>
        <w:tc>
          <w:tcPr>
            <w:tcW w:type="dxa" w:w="9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DA2310</w:t>
            </w:r>
          </w:p>
        </w:tc>
        <w:tc>
          <w:tcPr>
            <w:tcW w:type="dxa" w:w="2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Pediatric &amp; Preventive Dental Assisting</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2</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0</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3</w:t>
            </w:r>
          </w:p>
        </w:tc>
        <w:tc>
          <w:tcPr>
            <w:tcW w:type="dxa" w:w="7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5</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Department</w:t>
            </w:r>
          </w:p>
        </w:tc>
        <w:tc>
          <w:tcPr>
            <w:tcW w:type="dxa" w:w="11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DA112</w:t>
            </w:r>
          </w:p>
        </w:tc>
      </w:tr>
      <w:tr>
        <w:tc>
          <w:tcPr>
            <w:tcW w:type="dxa" w:w="9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DA2311</w:t>
            </w:r>
          </w:p>
        </w:tc>
        <w:tc>
          <w:tcPr>
            <w:tcW w:type="dxa" w:w="2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Orthodontics Assisting</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2</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0</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0</w:t>
            </w:r>
          </w:p>
        </w:tc>
        <w:tc>
          <w:tcPr>
            <w:tcW w:type="dxa" w:w="7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5</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Degree</w:t>
            </w:r>
          </w:p>
        </w:tc>
        <w:tc>
          <w:tcPr>
            <w:tcW w:type="dxa" w:w="11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w:t>
            </w:r>
          </w:p>
        </w:tc>
      </w:tr>
      <w:tr>
        <w:tc>
          <w:tcPr>
            <w:tcW w:type="dxa" w:w="9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DA2312</w:t>
            </w:r>
          </w:p>
        </w:tc>
        <w:tc>
          <w:tcPr>
            <w:tcW w:type="dxa" w:w="2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Career Development &amp; Entrepreneurship</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2</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0</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0</w:t>
            </w:r>
          </w:p>
        </w:tc>
        <w:tc>
          <w:tcPr>
            <w:tcW w:type="dxa" w:w="7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5</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Institute</w:t>
            </w:r>
          </w:p>
        </w:tc>
        <w:tc>
          <w:tcPr>
            <w:tcW w:type="dxa" w:w="11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w:t>
            </w:r>
          </w:p>
        </w:tc>
      </w:tr>
      <w:tr>
        <w:tc>
          <w:tcPr>
            <w:tcW w:type="dxa" w:w="900"/>
            <w:tcBorders>
              <w:top w:val="single" w:color="BFBFBF" w:sz="4"/>
              <w:left w:val="single" w:color="BFBFBF" w:sz="4"/>
              <w:bottom w:val="single" w:color="BFBFBF" w:sz="4"/>
              <w:right w:val="single" w:color="BFBFBF" w:sz="4"/>
            </w:tcBorders>
            <w:shd w:fill="F2F2F2" w:val="clear"/>
            <w:tcMar>
              <w:top w:type="dxa" w:w="60"/>
              <w:left w:type="dxa" w:w="90"/>
              <w:bottom w:type="dxa" w:w="60"/>
              <w:right w:type="dxa" w:w="90"/>
            </w:tcMar>
            <w:vAlign w:val="center"/>
          </w:tcPr>
          <w:p>
            <w:pPr>
              <w:spacing w:after="40"/>
            </w:pPr>
            <w:r>
              <w:rPr>
                <w:b w:val="false"/>
                <w:bCs w:val="false"/>
              </w:rPr>
              <w:t xml:space="preserve"/>
            </w:r>
          </w:p>
        </w:tc>
        <w:tc>
          <w:tcPr>
            <w:tcW w:type="dxa" w:w="2500"/>
            <w:tcBorders>
              <w:top w:val="single" w:color="BFBFBF" w:sz="4"/>
              <w:left w:val="single" w:color="BFBFBF" w:sz="4"/>
              <w:bottom w:val="single" w:color="BFBFBF" w:sz="4"/>
              <w:right w:val="single" w:color="BFBFBF" w:sz="4"/>
            </w:tcBorders>
            <w:shd w:fill="F2F2F2" w:val="clear"/>
            <w:tcMar>
              <w:top w:type="dxa" w:w="60"/>
              <w:left w:type="dxa" w:w="90"/>
              <w:bottom w:type="dxa" w:w="60"/>
              <w:right w:type="dxa" w:w="90"/>
            </w:tcMar>
            <w:vAlign w:val="center"/>
          </w:tcPr>
          <w:p>
            <w:pPr>
              <w:spacing w:after="40"/>
            </w:pPr>
            <w:r>
              <w:rPr>
                <w:b/>
                <w:bCs/>
              </w:rPr>
              <w:t xml:space="preserve">Semester total</w:t>
            </w:r>
          </w:p>
        </w:tc>
        <w:tc>
          <w:tcPr>
            <w:tcW w:type="dxa" w:w="800"/>
            <w:tcBorders>
              <w:top w:val="single" w:color="BFBFBF" w:sz="4"/>
              <w:left w:val="single" w:color="BFBFBF" w:sz="4"/>
              <w:bottom w:val="single" w:color="BFBFBF" w:sz="4"/>
              <w:right w:val="single" w:color="BFBFBF" w:sz="4"/>
            </w:tcBorders>
            <w:shd w:fill="F2F2F2" w:val="clear"/>
            <w:tcMar>
              <w:top w:type="dxa" w:w="60"/>
              <w:left w:type="dxa" w:w="90"/>
              <w:bottom w:type="dxa" w:w="60"/>
              <w:right w:type="dxa" w:w="90"/>
            </w:tcMar>
            <w:vAlign w:val="center"/>
          </w:tcPr>
          <w:p>
            <w:pPr>
              <w:spacing w:after="40"/>
              <w:jc w:val="center"/>
            </w:pPr>
            <w:r>
              <w:rPr>
                <w:b/>
                <w:bCs/>
              </w:rPr>
              <w:t xml:space="preserve">12</w:t>
            </w:r>
          </w:p>
        </w:tc>
        <w:tc>
          <w:tcPr>
            <w:tcW w:type="dxa" w:w="800"/>
            <w:tcBorders>
              <w:top w:val="single" w:color="BFBFBF" w:sz="4"/>
              <w:left w:val="single" w:color="BFBFBF" w:sz="4"/>
              <w:bottom w:val="single" w:color="BFBFBF" w:sz="4"/>
              <w:right w:val="single" w:color="BFBFBF" w:sz="4"/>
            </w:tcBorders>
            <w:shd w:fill="F2F2F2" w:val="clear"/>
            <w:tcMar>
              <w:top w:type="dxa" w:w="60"/>
              <w:left w:type="dxa" w:w="90"/>
              <w:bottom w:type="dxa" w:w="60"/>
              <w:right w:type="dxa" w:w="90"/>
            </w:tcMar>
            <w:vAlign w:val="center"/>
          </w:tcPr>
          <w:p>
            <w:pPr>
              <w:spacing w:after="40"/>
              <w:jc w:val="center"/>
            </w:pPr>
            <w:r>
              <w:rPr>
                <w:b/>
                <w:bCs/>
              </w:rPr>
              <w:t xml:space="preserve">0</w:t>
            </w:r>
          </w:p>
        </w:tc>
        <w:tc>
          <w:tcPr>
            <w:tcW w:type="dxa" w:w="800"/>
            <w:tcBorders>
              <w:top w:val="single" w:color="BFBFBF" w:sz="4"/>
              <w:left w:val="single" w:color="BFBFBF" w:sz="4"/>
              <w:bottom w:val="single" w:color="BFBFBF" w:sz="4"/>
              <w:right w:val="single" w:color="BFBFBF" w:sz="4"/>
            </w:tcBorders>
            <w:shd w:fill="F2F2F2" w:val="clear"/>
            <w:tcMar>
              <w:top w:type="dxa" w:w="60"/>
              <w:left w:type="dxa" w:w="90"/>
              <w:bottom w:type="dxa" w:w="60"/>
              <w:right w:type="dxa" w:w="90"/>
            </w:tcMar>
            <w:vAlign w:val="center"/>
          </w:tcPr>
          <w:p>
            <w:pPr>
              <w:spacing w:after="40"/>
              <w:jc w:val="center"/>
            </w:pPr>
            <w:r>
              <w:rPr>
                <w:b/>
                <w:bCs/>
              </w:rPr>
              <w:t xml:space="preserve">6</w:t>
            </w:r>
          </w:p>
        </w:tc>
        <w:tc>
          <w:tcPr>
            <w:tcW w:type="dxa" w:w="700"/>
            <w:tcBorders>
              <w:top w:val="single" w:color="BFBFBF" w:sz="4"/>
              <w:left w:val="single" w:color="BFBFBF" w:sz="4"/>
              <w:bottom w:val="single" w:color="BFBFBF" w:sz="4"/>
              <w:right w:val="single" w:color="BFBFBF" w:sz="4"/>
            </w:tcBorders>
            <w:shd w:fill="F2F2F2" w:val="clear"/>
            <w:tcMar>
              <w:top w:type="dxa" w:w="60"/>
              <w:left w:type="dxa" w:w="90"/>
              <w:bottom w:type="dxa" w:w="60"/>
              <w:right w:type="dxa" w:w="90"/>
            </w:tcMar>
            <w:vAlign w:val="center"/>
          </w:tcPr>
          <w:p>
            <w:pPr>
              <w:spacing w:after="40"/>
              <w:jc w:val="center"/>
            </w:pPr>
            <w:r>
              <w:rPr>
                <w:b/>
                <w:bCs/>
              </w:rPr>
              <w:t xml:space="preserve">30</w:t>
            </w:r>
          </w:p>
        </w:tc>
        <w:tc>
          <w:tcPr>
            <w:tcW w:type="dxa" w:w="1400"/>
            <w:tcBorders>
              <w:top w:val="single" w:color="BFBFBF" w:sz="4"/>
              <w:left w:val="single" w:color="BFBFBF" w:sz="4"/>
              <w:bottom w:val="single" w:color="BFBFBF" w:sz="4"/>
              <w:right w:val="single" w:color="BFBFBF" w:sz="4"/>
            </w:tcBorders>
            <w:shd w:fill="F2F2F2" w:val="clear"/>
            <w:tcMar>
              <w:top w:type="dxa" w:w="60"/>
              <w:left w:type="dxa" w:w="90"/>
              <w:bottom w:type="dxa" w:w="60"/>
              <w:right w:type="dxa" w:w="90"/>
            </w:tcMar>
            <w:vAlign w:val="center"/>
          </w:tcPr>
          <w:p>
            <w:pPr>
              <w:spacing w:after="40"/>
            </w:pPr>
            <w:r>
              <w:rPr>
                <w:b w:val="false"/>
                <w:bCs w:val="false"/>
              </w:rPr>
              <w:t xml:space="preserve"/>
            </w:r>
          </w:p>
        </w:tc>
        <w:tc>
          <w:tcPr>
            <w:tcW w:type="dxa" w:w="1100"/>
            <w:tcBorders>
              <w:top w:val="single" w:color="BFBFBF" w:sz="4"/>
              <w:left w:val="single" w:color="BFBFBF" w:sz="4"/>
              <w:bottom w:val="single" w:color="BFBFBF" w:sz="4"/>
              <w:right w:val="single" w:color="BFBFBF" w:sz="4"/>
            </w:tcBorders>
            <w:shd w:fill="F2F2F2" w:val="clear"/>
            <w:tcMar>
              <w:top w:type="dxa" w:w="60"/>
              <w:left w:type="dxa" w:w="90"/>
              <w:bottom w:type="dxa" w:w="60"/>
              <w:right w:type="dxa" w:w="90"/>
            </w:tcMar>
            <w:vAlign w:val="center"/>
          </w:tcPr>
          <w:p>
            <w:pPr>
              <w:spacing w:after="40"/>
            </w:pPr>
            <w:r>
              <w:rPr>
                <w:b w:val="false"/>
                <w:bCs w:val="false"/>
              </w:rPr>
              <w:t xml:space="preserve"/>
            </w:r>
          </w:p>
        </w:tc>
      </w:tr>
    </w:tbl>
    <w:p>
      <w:pPr>
        <w:spacing w:after="100"/>
      </w:pPr>
      <w:r>
        <w:rPr>
          <w:b/>
          <w:bCs/>
        </w:rPr>
        <w:t xml:space="preserve">Year 2: Semester 4</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
        <w:gridCol w:w="2500"/>
        <w:gridCol w:w="800"/>
        <w:gridCol w:w="800"/>
        <w:gridCol w:w="800"/>
        <w:gridCol w:w="700"/>
        <w:gridCol w:w="1400"/>
        <w:gridCol w:w="1100"/>
      </w:tblGrid>
      <w:tr>
        <w:trPr>
          <w:tblHeader/>
        </w:trPr>
        <w:tc>
          <w:tcPr>
            <w:tcW w:type="dxa" w:w="900"/>
            <w:tcBorders>
              <w:top w:val="single" w:color="BFBFBF" w:sz="4"/>
              <w:left w:val="single" w:color="BFBFBF" w:sz="4"/>
              <w:bottom w:val="single" w:color="BFBFBF" w:sz="4"/>
              <w:right w:val="single" w:color="BFBFBF" w:sz="4"/>
            </w:tcBorders>
            <w:shd w:fill="D9D9D9" w:val="clear"/>
            <w:tcMar>
              <w:top w:type="dxa" w:w="60"/>
              <w:left w:type="dxa" w:w="90"/>
              <w:bottom w:type="dxa" w:w="60"/>
              <w:right w:type="dxa" w:w="90"/>
            </w:tcMar>
            <w:vAlign w:val="center"/>
          </w:tcPr>
          <w:p>
            <w:pPr>
              <w:spacing w:after="40"/>
            </w:pPr>
            <w:r>
              <w:rPr>
                <w:b/>
                <w:bCs/>
              </w:rPr>
              <w:t xml:space="preserve">Code</w:t>
            </w:r>
          </w:p>
        </w:tc>
        <w:tc>
          <w:tcPr>
            <w:tcW w:type="dxa" w:w="2500"/>
            <w:tcBorders>
              <w:top w:val="single" w:color="BFBFBF" w:sz="4"/>
              <w:left w:val="single" w:color="BFBFBF" w:sz="4"/>
              <w:bottom w:val="single" w:color="BFBFBF" w:sz="4"/>
              <w:right w:val="single" w:color="BFBFBF" w:sz="4"/>
            </w:tcBorders>
            <w:shd w:fill="D9D9D9" w:val="clear"/>
            <w:tcMar>
              <w:top w:type="dxa" w:w="60"/>
              <w:left w:type="dxa" w:w="90"/>
              <w:bottom w:type="dxa" w:w="60"/>
              <w:right w:type="dxa" w:w="90"/>
            </w:tcMar>
            <w:vAlign w:val="center"/>
          </w:tcPr>
          <w:p>
            <w:pPr>
              <w:spacing w:after="40"/>
            </w:pPr>
            <w:r>
              <w:rPr>
                <w:b/>
                <w:bCs/>
              </w:rPr>
              <w:t xml:space="preserve">Course</w:t>
            </w:r>
          </w:p>
        </w:tc>
        <w:tc>
          <w:tcPr>
            <w:tcW w:type="dxa" w:w="800"/>
            <w:tcBorders>
              <w:top w:val="single" w:color="BFBFBF" w:sz="4"/>
              <w:left w:val="single" w:color="BFBFBF" w:sz="4"/>
              <w:bottom w:val="single" w:color="BFBFBF" w:sz="4"/>
              <w:right w:val="single" w:color="BFBFBF" w:sz="4"/>
            </w:tcBorders>
            <w:shd w:fill="D9D9D9" w:val="clear"/>
            <w:tcMar>
              <w:top w:type="dxa" w:w="60"/>
              <w:left w:type="dxa" w:w="90"/>
              <w:bottom w:type="dxa" w:w="60"/>
              <w:right w:type="dxa" w:w="90"/>
            </w:tcMar>
            <w:vAlign w:val="center"/>
          </w:tcPr>
          <w:p>
            <w:pPr>
              <w:spacing w:after="40"/>
            </w:pPr>
            <w:r>
              <w:rPr>
                <w:b/>
                <w:bCs/>
              </w:rPr>
              <w:t xml:space="preserve">Theory
h/wk</w:t>
            </w:r>
          </w:p>
        </w:tc>
        <w:tc>
          <w:tcPr>
            <w:tcW w:type="dxa" w:w="800"/>
            <w:tcBorders>
              <w:top w:val="single" w:color="BFBFBF" w:sz="4"/>
              <w:left w:val="single" w:color="BFBFBF" w:sz="4"/>
              <w:bottom w:val="single" w:color="BFBFBF" w:sz="4"/>
              <w:right w:val="single" w:color="BFBFBF" w:sz="4"/>
            </w:tcBorders>
            <w:shd w:fill="D9D9D9" w:val="clear"/>
            <w:tcMar>
              <w:top w:type="dxa" w:w="60"/>
              <w:left w:type="dxa" w:w="90"/>
              <w:bottom w:type="dxa" w:w="60"/>
              <w:right w:type="dxa" w:w="90"/>
            </w:tcMar>
            <w:vAlign w:val="center"/>
          </w:tcPr>
          <w:p>
            <w:pPr>
              <w:spacing w:after="40"/>
            </w:pPr>
            <w:r>
              <w:rPr>
                <w:b/>
                <w:bCs/>
              </w:rPr>
              <w:t xml:space="preserve">Practical
h/wk</w:t>
            </w:r>
          </w:p>
        </w:tc>
        <w:tc>
          <w:tcPr>
            <w:tcW w:type="dxa" w:w="800"/>
            <w:tcBorders>
              <w:top w:val="single" w:color="BFBFBF" w:sz="4"/>
              <w:left w:val="single" w:color="BFBFBF" w:sz="4"/>
              <w:bottom w:val="single" w:color="BFBFBF" w:sz="4"/>
              <w:right w:val="single" w:color="BFBFBF" w:sz="4"/>
            </w:tcBorders>
            <w:shd w:fill="D9D9D9" w:val="clear"/>
            <w:tcMar>
              <w:top w:type="dxa" w:w="60"/>
              <w:left w:type="dxa" w:w="90"/>
              <w:bottom w:type="dxa" w:w="60"/>
              <w:right w:type="dxa" w:w="90"/>
            </w:tcMar>
            <w:vAlign w:val="center"/>
          </w:tcPr>
          <w:p>
            <w:pPr>
              <w:spacing w:after="40"/>
            </w:pPr>
            <w:r>
              <w:rPr>
                <w:b/>
                <w:bCs/>
              </w:rPr>
              <w:t xml:space="preserve">Clinical
h/wk</w:t>
            </w:r>
          </w:p>
        </w:tc>
        <w:tc>
          <w:tcPr>
            <w:tcW w:type="dxa" w:w="700"/>
            <w:tcBorders>
              <w:top w:val="single" w:color="BFBFBF" w:sz="4"/>
              <w:left w:val="single" w:color="BFBFBF" w:sz="4"/>
              <w:bottom w:val="single" w:color="BFBFBF" w:sz="4"/>
              <w:right w:val="single" w:color="BFBFBF" w:sz="4"/>
            </w:tcBorders>
            <w:shd w:fill="D9D9D9" w:val="clear"/>
            <w:tcMar>
              <w:top w:type="dxa" w:w="60"/>
              <w:left w:type="dxa" w:w="90"/>
              <w:bottom w:type="dxa" w:w="60"/>
              <w:right w:type="dxa" w:w="90"/>
            </w:tcMar>
            <w:vAlign w:val="center"/>
          </w:tcPr>
          <w:p>
            <w:pPr>
              <w:spacing w:after="40"/>
            </w:pPr>
            <w:r>
              <w:rPr>
                <w:b/>
                <w:bCs/>
              </w:rPr>
              <w:t xml:space="preserve">ECTS</w:t>
            </w:r>
          </w:p>
        </w:tc>
        <w:tc>
          <w:tcPr>
            <w:tcW w:type="dxa" w:w="1400"/>
            <w:tcBorders>
              <w:top w:val="single" w:color="BFBFBF" w:sz="4"/>
              <w:left w:val="single" w:color="BFBFBF" w:sz="4"/>
              <w:bottom w:val="single" w:color="BFBFBF" w:sz="4"/>
              <w:right w:val="single" w:color="BFBFBF" w:sz="4"/>
            </w:tcBorders>
            <w:shd w:fill="D9D9D9" w:val="clear"/>
            <w:tcMar>
              <w:top w:type="dxa" w:w="60"/>
              <w:left w:type="dxa" w:w="90"/>
              <w:bottom w:type="dxa" w:w="60"/>
              <w:right w:type="dxa" w:w="90"/>
            </w:tcMar>
            <w:vAlign w:val="center"/>
          </w:tcPr>
          <w:p>
            <w:pPr>
              <w:spacing w:after="40"/>
            </w:pPr>
            <w:r>
              <w:rPr>
                <w:b/>
                <w:bCs/>
              </w:rPr>
              <w:t xml:space="preserve">Category</w:t>
            </w:r>
          </w:p>
        </w:tc>
        <w:tc>
          <w:tcPr>
            <w:tcW w:type="dxa" w:w="1100"/>
            <w:tcBorders>
              <w:top w:val="single" w:color="BFBFBF" w:sz="4"/>
              <w:left w:val="single" w:color="BFBFBF" w:sz="4"/>
              <w:bottom w:val="single" w:color="BFBFBF" w:sz="4"/>
              <w:right w:val="single" w:color="BFBFBF" w:sz="4"/>
            </w:tcBorders>
            <w:shd w:fill="D9D9D9" w:val="clear"/>
            <w:tcMar>
              <w:top w:type="dxa" w:w="60"/>
              <w:left w:type="dxa" w:w="90"/>
              <w:bottom w:type="dxa" w:w="60"/>
              <w:right w:type="dxa" w:w="90"/>
            </w:tcMar>
            <w:vAlign w:val="center"/>
          </w:tcPr>
          <w:p>
            <w:pPr>
              <w:spacing w:after="40"/>
            </w:pPr>
            <w:r>
              <w:rPr>
                <w:b/>
                <w:bCs/>
              </w:rPr>
              <w:t xml:space="preserve">Pre-req.</w:t>
            </w:r>
          </w:p>
        </w:tc>
      </w:tr>
      <w:tr>
        <w:tc>
          <w:tcPr>
            <w:tcW w:type="dxa" w:w="9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DA246</w:t>
            </w:r>
          </w:p>
        </w:tc>
        <w:tc>
          <w:tcPr>
            <w:tcW w:type="dxa" w:w="2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Dental Office Management</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2</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0</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0</w:t>
            </w:r>
          </w:p>
        </w:tc>
        <w:tc>
          <w:tcPr>
            <w:tcW w:type="dxa" w:w="7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6</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Department</w:t>
            </w:r>
          </w:p>
        </w:tc>
        <w:tc>
          <w:tcPr>
            <w:tcW w:type="dxa" w:w="11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w:t>
            </w:r>
          </w:p>
        </w:tc>
      </w:tr>
      <w:tr>
        <w:tc>
          <w:tcPr>
            <w:tcW w:type="dxa" w:w="9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DA247</w:t>
            </w:r>
          </w:p>
        </w:tc>
        <w:tc>
          <w:tcPr>
            <w:tcW w:type="dxa" w:w="2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Maxillofacial Radiography &amp; AI Application</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2</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2</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0</w:t>
            </w:r>
          </w:p>
        </w:tc>
        <w:tc>
          <w:tcPr>
            <w:tcW w:type="dxa" w:w="7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6</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Department</w:t>
            </w:r>
          </w:p>
        </w:tc>
        <w:tc>
          <w:tcPr>
            <w:tcW w:type="dxa" w:w="11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DA111</w:t>
            </w:r>
          </w:p>
        </w:tc>
      </w:tr>
      <w:tr>
        <w:tc>
          <w:tcPr>
            <w:tcW w:type="dxa" w:w="9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DA242</w:t>
            </w:r>
          </w:p>
        </w:tc>
        <w:tc>
          <w:tcPr>
            <w:tcW w:type="dxa" w:w="2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Psychology</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2</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0</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0</w:t>
            </w:r>
          </w:p>
        </w:tc>
        <w:tc>
          <w:tcPr>
            <w:tcW w:type="dxa" w:w="7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5</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Degree</w:t>
            </w:r>
          </w:p>
        </w:tc>
        <w:tc>
          <w:tcPr>
            <w:tcW w:type="dxa" w:w="11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w:t>
            </w:r>
          </w:p>
        </w:tc>
      </w:tr>
      <w:tr>
        <w:tc>
          <w:tcPr>
            <w:tcW w:type="dxa" w:w="9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DA243</w:t>
            </w:r>
          </w:p>
        </w:tc>
        <w:tc>
          <w:tcPr>
            <w:tcW w:type="dxa" w:w="2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Oral &amp; Maxillofacial Surgery Assisting</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2</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0</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3</w:t>
            </w:r>
          </w:p>
        </w:tc>
        <w:tc>
          <w:tcPr>
            <w:tcW w:type="dxa" w:w="7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7</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Department</w:t>
            </w:r>
          </w:p>
        </w:tc>
        <w:tc>
          <w:tcPr>
            <w:tcW w:type="dxa" w:w="11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DA111, DA112</w:t>
            </w:r>
          </w:p>
        </w:tc>
      </w:tr>
      <w:tr>
        <w:tc>
          <w:tcPr>
            <w:tcW w:type="dxa" w:w="9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DA244</w:t>
            </w:r>
          </w:p>
        </w:tc>
        <w:tc>
          <w:tcPr>
            <w:tcW w:type="dxa" w:w="2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Clinical Dental Assisting II</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2</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0</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3</w:t>
            </w:r>
          </w:p>
        </w:tc>
        <w:tc>
          <w:tcPr>
            <w:tcW w:type="dxa" w:w="7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6</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Department</w:t>
            </w:r>
          </w:p>
        </w:tc>
        <w:tc>
          <w:tcPr>
            <w:tcW w:type="dxa" w:w="11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DA238</w:t>
            </w:r>
          </w:p>
        </w:tc>
      </w:tr>
      <w:tr>
        <w:tc>
          <w:tcPr>
            <w:tcW w:type="dxa" w:w="9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DA245</w:t>
            </w:r>
          </w:p>
        </w:tc>
        <w:tc>
          <w:tcPr>
            <w:tcW w:type="dxa" w:w="2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Summer Training</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0</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0</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3</w:t>
            </w:r>
          </w:p>
        </w:tc>
        <w:tc>
          <w:tcPr>
            <w:tcW w:type="dxa" w:w="7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jc w:val="center"/>
            </w:pPr>
            <w:r>
              <w:rPr>
                <w:b w:val="false"/>
                <w:bCs w:val="false"/>
              </w:rPr>
              <w:t xml:space="preserve">0</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Institute</w:t>
            </w:r>
          </w:p>
        </w:tc>
        <w:tc>
          <w:tcPr>
            <w:tcW w:type="dxa" w:w="11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spacing w:after="40"/>
            </w:pPr>
            <w:r>
              <w:rPr>
                <w:b w:val="false"/>
                <w:bCs w:val="false"/>
              </w:rPr>
              <w:t xml:space="preserve">DA248 †</w:t>
            </w:r>
          </w:p>
        </w:tc>
      </w:tr>
      <w:tr>
        <w:tc>
          <w:tcPr>
            <w:tcW w:type="dxa" w:w="900"/>
            <w:tcBorders>
              <w:top w:val="single" w:color="BFBFBF" w:sz="4"/>
              <w:left w:val="single" w:color="BFBFBF" w:sz="4"/>
              <w:bottom w:val="single" w:color="BFBFBF" w:sz="4"/>
              <w:right w:val="single" w:color="BFBFBF" w:sz="4"/>
            </w:tcBorders>
            <w:shd w:fill="F2F2F2" w:val="clear"/>
            <w:tcMar>
              <w:top w:type="dxa" w:w="60"/>
              <w:left w:type="dxa" w:w="90"/>
              <w:bottom w:type="dxa" w:w="60"/>
              <w:right w:type="dxa" w:w="90"/>
            </w:tcMar>
            <w:vAlign w:val="center"/>
          </w:tcPr>
          <w:p>
            <w:pPr>
              <w:spacing w:after="40"/>
            </w:pPr>
            <w:r>
              <w:rPr>
                <w:b w:val="false"/>
                <w:bCs w:val="false"/>
              </w:rPr>
              <w:t xml:space="preserve"/>
            </w:r>
          </w:p>
        </w:tc>
        <w:tc>
          <w:tcPr>
            <w:tcW w:type="dxa" w:w="2500"/>
            <w:tcBorders>
              <w:top w:val="single" w:color="BFBFBF" w:sz="4"/>
              <w:left w:val="single" w:color="BFBFBF" w:sz="4"/>
              <w:bottom w:val="single" w:color="BFBFBF" w:sz="4"/>
              <w:right w:val="single" w:color="BFBFBF" w:sz="4"/>
            </w:tcBorders>
            <w:shd w:fill="F2F2F2" w:val="clear"/>
            <w:tcMar>
              <w:top w:type="dxa" w:w="60"/>
              <w:left w:type="dxa" w:w="90"/>
              <w:bottom w:type="dxa" w:w="60"/>
              <w:right w:type="dxa" w:w="90"/>
            </w:tcMar>
            <w:vAlign w:val="center"/>
          </w:tcPr>
          <w:p>
            <w:pPr>
              <w:spacing w:after="40"/>
            </w:pPr>
            <w:r>
              <w:rPr>
                <w:b/>
                <w:bCs/>
              </w:rPr>
              <w:t xml:space="preserve">Semester total</w:t>
            </w:r>
          </w:p>
        </w:tc>
        <w:tc>
          <w:tcPr>
            <w:tcW w:type="dxa" w:w="800"/>
            <w:tcBorders>
              <w:top w:val="single" w:color="BFBFBF" w:sz="4"/>
              <w:left w:val="single" w:color="BFBFBF" w:sz="4"/>
              <w:bottom w:val="single" w:color="BFBFBF" w:sz="4"/>
              <w:right w:val="single" w:color="BFBFBF" w:sz="4"/>
            </w:tcBorders>
            <w:shd w:fill="F2F2F2" w:val="clear"/>
            <w:tcMar>
              <w:top w:type="dxa" w:w="60"/>
              <w:left w:type="dxa" w:w="90"/>
              <w:bottom w:type="dxa" w:w="60"/>
              <w:right w:type="dxa" w:w="90"/>
            </w:tcMar>
            <w:vAlign w:val="center"/>
          </w:tcPr>
          <w:p>
            <w:pPr>
              <w:spacing w:after="40"/>
              <w:jc w:val="center"/>
            </w:pPr>
            <w:r>
              <w:rPr>
                <w:b/>
                <w:bCs/>
              </w:rPr>
              <w:t xml:space="preserve">10</w:t>
            </w:r>
          </w:p>
        </w:tc>
        <w:tc>
          <w:tcPr>
            <w:tcW w:type="dxa" w:w="800"/>
            <w:tcBorders>
              <w:top w:val="single" w:color="BFBFBF" w:sz="4"/>
              <w:left w:val="single" w:color="BFBFBF" w:sz="4"/>
              <w:bottom w:val="single" w:color="BFBFBF" w:sz="4"/>
              <w:right w:val="single" w:color="BFBFBF" w:sz="4"/>
            </w:tcBorders>
            <w:shd w:fill="F2F2F2" w:val="clear"/>
            <w:tcMar>
              <w:top w:type="dxa" w:w="60"/>
              <w:left w:type="dxa" w:w="90"/>
              <w:bottom w:type="dxa" w:w="60"/>
              <w:right w:type="dxa" w:w="90"/>
            </w:tcMar>
            <w:vAlign w:val="center"/>
          </w:tcPr>
          <w:p>
            <w:pPr>
              <w:spacing w:after="40"/>
              <w:jc w:val="center"/>
            </w:pPr>
            <w:r>
              <w:rPr>
                <w:b/>
                <w:bCs/>
              </w:rPr>
              <w:t xml:space="preserve">2</w:t>
            </w:r>
          </w:p>
        </w:tc>
        <w:tc>
          <w:tcPr>
            <w:tcW w:type="dxa" w:w="800"/>
            <w:tcBorders>
              <w:top w:val="single" w:color="BFBFBF" w:sz="4"/>
              <w:left w:val="single" w:color="BFBFBF" w:sz="4"/>
              <w:bottom w:val="single" w:color="BFBFBF" w:sz="4"/>
              <w:right w:val="single" w:color="BFBFBF" w:sz="4"/>
            </w:tcBorders>
            <w:shd w:fill="F2F2F2" w:val="clear"/>
            <w:tcMar>
              <w:top w:type="dxa" w:w="60"/>
              <w:left w:type="dxa" w:w="90"/>
              <w:bottom w:type="dxa" w:w="60"/>
              <w:right w:type="dxa" w:w="90"/>
            </w:tcMar>
            <w:vAlign w:val="center"/>
          </w:tcPr>
          <w:p>
            <w:pPr>
              <w:spacing w:after="40"/>
              <w:jc w:val="center"/>
            </w:pPr>
            <w:r>
              <w:rPr>
                <w:b/>
                <w:bCs/>
              </w:rPr>
              <w:t xml:space="preserve">9</w:t>
            </w:r>
          </w:p>
        </w:tc>
        <w:tc>
          <w:tcPr>
            <w:tcW w:type="dxa" w:w="700"/>
            <w:tcBorders>
              <w:top w:val="single" w:color="BFBFBF" w:sz="4"/>
              <w:left w:val="single" w:color="BFBFBF" w:sz="4"/>
              <w:bottom w:val="single" w:color="BFBFBF" w:sz="4"/>
              <w:right w:val="single" w:color="BFBFBF" w:sz="4"/>
            </w:tcBorders>
            <w:shd w:fill="F2F2F2" w:val="clear"/>
            <w:tcMar>
              <w:top w:type="dxa" w:w="60"/>
              <w:left w:type="dxa" w:w="90"/>
              <w:bottom w:type="dxa" w:w="60"/>
              <w:right w:type="dxa" w:w="90"/>
            </w:tcMar>
            <w:vAlign w:val="center"/>
          </w:tcPr>
          <w:p>
            <w:pPr>
              <w:spacing w:after="40"/>
              <w:jc w:val="center"/>
            </w:pPr>
            <w:r>
              <w:rPr>
                <w:b/>
                <w:bCs/>
              </w:rPr>
              <w:t xml:space="preserve">30</w:t>
            </w:r>
          </w:p>
        </w:tc>
        <w:tc>
          <w:tcPr>
            <w:tcW w:type="dxa" w:w="1400"/>
            <w:tcBorders>
              <w:top w:val="single" w:color="BFBFBF" w:sz="4"/>
              <w:left w:val="single" w:color="BFBFBF" w:sz="4"/>
              <w:bottom w:val="single" w:color="BFBFBF" w:sz="4"/>
              <w:right w:val="single" w:color="BFBFBF" w:sz="4"/>
            </w:tcBorders>
            <w:shd w:fill="F2F2F2" w:val="clear"/>
            <w:tcMar>
              <w:top w:type="dxa" w:w="60"/>
              <w:left w:type="dxa" w:w="90"/>
              <w:bottom w:type="dxa" w:w="60"/>
              <w:right w:type="dxa" w:w="90"/>
            </w:tcMar>
            <w:vAlign w:val="center"/>
          </w:tcPr>
          <w:p>
            <w:pPr>
              <w:spacing w:after="40"/>
            </w:pPr>
            <w:r>
              <w:rPr>
                <w:b w:val="false"/>
                <w:bCs w:val="false"/>
              </w:rPr>
              <w:t xml:space="preserve"/>
            </w:r>
          </w:p>
        </w:tc>
        <w:tc>
          <w:tcPr>
            <w:tcW w:type="dxa" w:w="1100"/>
            <w:tcBorders>
              <w:top w:val="single" w:color="BFBFBF" w:sz="4"/>
              <w:left w:val="single" w:color="BFBFBF" w:sz="4"/>
              <w:bottom w:val="single" w:color="BFBFBF" w:sz="4"/>
              <w:right w:val="single" w:color="BFBFBF" w:sz="4"/>
            </w:tcBorders>
            <w:shd w:fill="F2F2F2" w:val="clear"/>
            <w:tcMar>
              <w:top w:type="dxa" w:w="60"/>
              <w:left w:type="dxa" w:w="90"/>
              <w:bottom w:type="dxa" w:w="60"/>
              <w:right w:type="dxa" w:w="90"/>
            </w:tcMar>
            <w:vAlign w:val="center"/>
          </w:tcPr>
          <w:p>
            <w:pPr>
              <w:spacing w:after="40"/>
            </w:pPr>
            <w:r>
              <w:rPr>
                <w:b w:val="false"/>
                <w:bCs w:val="false"/>
              </w:rPr>
              <w:t xml:space="preserve"/>
            </w:r>
          </w:p>
        </w:tc>
      </w:tr>
    </w:tbl>
    <w:p>
      <w:pPr>
        <w:spacing w:after="160"/>
      </w:pPr>
      <w:r>
        <w:rPr>
          <w:i/>
          <w:iCs/>
          <w:sz w:val="18"/>
          <w:szCs w:val="18"/>
        </w:rPr>
        <w:t xml:space="preserve">† Recorded as "DA248" in the department's 2026–2027 syllabus table (previously "DA125"); this does not correspond to any current course code. See the Note in Section 4.1.</w:t>
      </w:r>
    </w:p>
    <w:p>
      <w:pPr>
        <w:pStyle w:val="Heading1"/>
        <w:spacing w:after="200" w:before="320"/>
      </w:pPr>
      <w:r>
        <w:t xml:space="preserve">11. Teaching, learning and assessment</w:t>
      </w:r>
    </w:p>
    <w:p>
      <w:pPr>
        <w:pStyle w:val="Heading2"/>
        <w:spacing w:after="160" w:before="240"/>
      </w:pPr>
      <w:r>
        <w:t xml:space="preserve">11.1 Teaching and learning methods</w:t>
      </w:r>
    </w:p>
    <w:p>
      <w:pPr>
        <w:spacing w:after="160"/>
      </w:pPr>
      <w:r>
        <w:t xml:space="preserve">Courses combine lectures with, where indicated in the course menu, weekly practical and/or clinical sessions. Clinical Dental Assisting I and II and the surgical/pediatric assisting modules deliver supervised hands-on practice; Summer Training extends this into an authentic workplace setting.</w:t>
      </w:r>
    </w:p>
    <w:p>
      <w:pPr>
        <w:pStyle w:val="Heading2"/>
        <w:spacing w:after="160" w:before="240"/>
      </w:pPr>
      <w:r>
        <w:t xml:space="preserve">11.2 Declared delivery mode and resource honesty</w:t>
      </w:r>
    </w:p>
    <w:p>
      <w:pPr>
        <w:spacing w:after="160"/>
      </w:pPr>
      <w:r>
        <w:t xml:space="preserve">All courses in the table above are delivered on campus using the department's own clinical laboratories, simulation facilities and community clinic. Where a course depends on equipment or reagent holdings that are not yet in place, this should be recorded here and corrected before the course is next offered, consistent with the resource-honesty principle applied across KTI curriculum specifications.</w:t>
      </w:r>
    </w:p>
    <w:p>
      <w:pPr>
        <w:pStyle w:val="Heading2"/>
        <w:spacing w:after="160" w:before="240"/>
      </w:pPr>
      <w:r>
        <w:t xml:space="preserve">11.3 Assessment methods</w:t>
      </w:r>
    </w:p>
    <w:p>
      <w:pPr>
        <w:spacing w:after="160"/>
      </w:pPr>
      <w:r>
        <w:t xml:space="preserve">Assessment combines theory examinations with practical/clinical assessment for courses that carry a practical or clinical component, together with continuous assessment (quizzes, assignments, and practical logbooks where applicable). Students must pass both the theory and the practical/clinical component of any course that carries one.</w:t>
      </w:r>
    </w:p>
    <w:p>
      <w:pPr>
        <w:pStyle w:val="Heading2"/>
        <w:spacing w:after="160" w:before="240"/>
      </w:pPr>
      <w:r>
        <w:t xml:space="preserve">11.4 Grading scheme</w:t>
      </w:r>
    </w:p>
    <w:p>
      <w:pPr>
        <w:spacing w:after="160"/>
      </w:pPr>
      <w:r>
        <w:t xml:space="preserve">Grading follows the Institute's standard percentage-to-GPA scale; students must maintain a minimum cumulative GPA of 2.0 to remain in good standing and to graduate.</w:t>
      </w:r>
    </w:p>
    <w:p>
      <w:pPr>
        <w:pStyle w:val="Heading1"/>
        <w:spacing w:after="200" w:before="320"/>
      </w:pPr>
      <w:r>
        <w:t xml:space="preserve">12. Career opportunities</w:t>
      </w:r>
    </w:p>
    <w:p>
      <w:pPr>
        <w:spacing w:after="160"/>
      </w:pPr>
      <w:r>
        <w:t xml:space="preserve">Graduates of the Diploma in Dental Assisting program have a broad range of career opportunities within the dental healthcare sector:</w:t>
      </w:r>
    </w:p>
    <w:p>
      <w:pPr>
        <w:pStyle w:val="ListParagraph"/>
        <w:numPr>
          <w:ilvl w:val="0"/>
          <w:numId w:val="1"/>
        </w:numPr>
        <w:spacing w:after="100"/>
      </w:pPr>
      <w:r>
        <w:t xml:space="preserve">Dental Assistant: works directly under the supervision of a dentist, assisting in dental procedures, preparing patients, sterilizing instruments, taking dental radiographs, and managing infection control.</w:t>
      </w:r>
    </w:p>
    <w:p>
      <w:pPr>
        <w:pStyle w:val="ListParagraph"/>
        <w:numPr>
          <w:ilvl w:val="0"/>
          <w:numId w:val="1"/>
        </w:numPr>
        <w:spacing w:after="100"/>
      </w:pPr>
      <w:r>
        <w:t xml:space="preserve">Specialized Dental Assistant: with additional training, specializes in areas such as orthodontics, periodontics, pediatric dentistry, or oral surgery.</w:t>
      </w:r>
    </w:p>
    <w:p>
      <w:pPr>
        <w:pStyle w:val="ListParagraph"/>
        <w:numPr>
          <w:ilvl w:val="0"/>
          <w:numId w:val="1"/>
        </w:numPr>
        <w:spacing w:after="100"/>
      </w:pPr>
      <w:r>
        <w:t xml:space="preserve">Dental Office Manager/Administrator: oversees scheduling, patient records, billing, insurance processing and office operations.</w:t>
      </w:r>
    </w:p>
    <w:p>
      <w:pPr>
        <w:pStyle w:val="ListParagraph"/>
        <w:numPr>
          <w:ilvl w:val="0"/>
          <w:numId w:val="1"/>
        </w:numPr>
        <w:spacing w:after="100"/>
      </w:pPr>
      <w:r>
        <w:t xml:space="preserve">Dental Sales Representative: represents dental product and equipment manufacturers to dental practices and clinics.</w:t>
      </w:r>
    </w:p>
    <w:p>
      <w:pPr>
        <w:pStyle w:val="ListParagraph"/>
        <w:numPr>
          <w:ilvl w:val="0"/>
          <w:numId w:val="1"/>
        </w:numPr>
        <w:spacing w:after="100"/>
      </w:pPr>
      <w:r>
        <w:t xml:space="preserve">Dental Insurance Claims Processor/Coordinator: processes claims and verifies benefits with dental offices and insurers.</w:t>
      </w:r>
    </w:p>
    <w:p>
      <w:pPr>
        <w:pStyle w:val="ListParagraph"/>
        <w:numPr>
          <w:ilvl w:val="0"/>
          <w:numId w:val="1"/>
        </w:numPr>
        <w:spacing w:after="100"/>
      </w:pPr>
      <w:r>
        <w:t xml:space="preserve">Community Health Worker/Dental Health Educator: promotes oral health in schools, public health departments and community organizations.</w:t>
      </w:r>
    </w:p>
    <w:p>
      <w:pPr>
        <w:pStyle w:val="ListParagraph"/>
        <w:numPr>
          <w:ilvl w:val="0"/>
          <w:numId w:val="1"/>
        </w:numPr>
        <w:spacing w:after="100"/>
      </w:pPr>
      <w:r>
        <w:t xml:space="preserve">Dental Laboratory Technician Assistant: assists in fabricating dental prosthetics such as crowns, bridges and dentures.</w:t>
      </w:r>
    </w:p>
    <w:p>
      <w:pPr>
        <w:pStyle w:val="ListParagraph"/>
        <w:numPr>
          <w:ilvl w:val="0"/>
          <w:numId w:val="1"/>
        </w:numPr>
        <w:spacing w:after="100"/>
      </w:pPr>
      <w:r>
        <w:t xml:space="preserve">Further study: dental hygiene, dental therapy, or other allied healthcare fields.</w:t>
      </w:r>
    </w:p>
    <w:p>
      <w:pPr>
        <w:pStyle w:val="Heading1"/>
        <w:spacing w:after="200" w:before="320"/>
      </w:pPr>
      <w:r>
        <w:t xml:space="preserve">13. Course synopses</w:t>
      </w:r>
    </w:p>
    <w:p>
      <w:pPr>
        <w:spacing w:after="160"/>
      </w:pPr>
      <w:r>
        <w:t xml:space="preserve">Brief synopses below are drawn from course titles, categories and credit weight in the current curriculum table. They have not been through the module-by-module review process used for other KTI programs, and should be expanded by the relevant course leads into full outlines (learning outcomes, weekly theory/practical breakdown) ahead of the next specification revision.</w:t>
      </w:r>
    </w:p>
    <w:p>
      <w:pPr>
        <w:pStyle w:val="Heading2"/>
        <w:spacing w:after="160" w:before="240"/>
      </w:pPr>
      <w:r>
        <w:t xml:space="preserve">13.1 Semester 1 courses</w:t>
      </w:r>
    </w:p>
    <w:p>
      <w:pPr>
        <w:spacing w:after="80" w:before="200"/>
      </w:pPr>
      <w:r>
        <w:rPr>
          <w:b/>
          <w:bCs/>
        </w:rPr>
        <w:t xml:space="preserve">DA116 Medical Terminology</w:t>
      </w:r>
      <w:r>
        <w:rPr>
          <w:i/>
          <w:iCs/>
        </w:rPr>
        <w:t xml:space="preserve">  ·  5 ECTS  ·  Semester 1</w:t>
      </w:r>
    </w:p>
    <w:p>
      <w:pPr>
        <w:spacing w:after="160"/>
      </w:pPr>
      <w:r>
        <w:t xml:space="preserve">Introduces the vocabulary of medicine and dentistry — word roots, prefixes and suffixes, and the terms used in patient records, prescriptions and referrals — so that students can read and write clinical documentation accurately.</w:t>
      </w:r>
    </w:p>
    <w:p>
      <w:pPr>
        <w:spacing w:after="80" w:before="200"/>
      </w:pPr>
      <w:r>
        <w:rPr>
          <w:b/>
          <w:bCs/>
        </w:rPr>
        <w:t xml:space="preserve">DA111 Maxillofacial &amp; Dental Anatomy</w:t>
      </w:r>
      <w:r>
        <w:rPr>
          <w:i/>
          <w:iCs/>
        </w:rPr>
        <w:t xml:space="preserve">  ·  6 ECTS  ·  Semester 1</w:t>
      </w:r>
    </w:p>
    <w:p>
      <w:pPr>
        <w:spacing w:after="160"/>
      </w:pPr>
      <w:r>
        <w:t xml:space="preserve">Covers the anatomy of the head, neck and oral cavity, tooth morphology and the permanent and primary dentitions, providing the anatomical foundation for every clinical module that follows.</w:t>
      </w:r>
    </w:p>
    <w:p>
      <w:pPr>
        <w:spacing w:after="80" w:before="200"/>
      </w:pPr>
      <w:r>
        <w:rPr>
          <w:b/>
          <w:bCs/>
        </w:rPr>
        <w:t xml:space="preserve">DA112 Dental Instruments &amp; Equipment</w:t>
      </w:r>
      <w:r>
        <w:rPr>
          <w:i/>
          <w:iCs/>
        </w:rPr>
        <w:t xml:space="preserve">  ·  5 ECTS  ·  Semester 1</w:t>
      </w:r>
    </w:p>
    <w:p>
      <w:pPr>
        <w:spacing w:after="160"/>
      </w:pPr>
      <w:r>
        <w:t xml:space="preserve">Introduces the instruments, handpieces and equipment used at chairside, their identification, tray set-ups, care and maintenance, and safe handling.</w:t>
      </w:r>
    </w:p>
    <w:p>
      <w:pPr>
        <w:spacing w:after="80" w:before="200"/>
      </w:pPr>
      <w:r>
        <w:rPr>
          <w:b/>
          <w:bCs/>
        </w:rPr>
        <w:t xml:space="preserve">DA117 Kurdology</w:t>
      </w:r>
      <w:r>
        <w:rPr>
          <w:i/>
          <w:iCs/>
        </w:rPr>
        <w:t xml:space="preserve">  ·  5 ECTS  ·  Semester 1</w:t>
      </w:r>
    </w:p>
    <w:p>
      <w:pPr>
        <w:spacing w:after="160"/>
      </w:pPr>
      <w:r>
        <w:t xml:space="preserve">An institute-wide course on the history, geography and culture of Kurdistan, taken by students across departments.</w:t>
      </w:r>
    </w:p>
    <w:p>
      <w:pPr>
        <w:spacing w:after="80" w:before="200"/>
      </w:pPr>
      <w:r>
        <w:rPr>
          <w:b/>
          <w:bCs/>
        </w:rPr>
        <w:t xml:space="preserve">DA114 Academic Debate</w:t>
      </w:r>
      <w:r>
        <w:rPr>
          <w:i/>
          <w:iCs/>
        </w:rPr>
        <w:t xml:space="preserve">  ·  5 ECTS  ·  Semester 1</w:t>
      </w:r>
    </w:p>
    <w:p>
      <w:pPr>
        <w:spacing w:after="160"/>
      </w:pPr>
      <w:r>
        <w:t xml:space="preserve">Develops academic communication, argumentation and presentation skills applicable across the student's studies and professional life.</w:t>
      </w:r>
    </w:p>
    <w:p>
      <w:pPr>
        <w:spacing w:after="80" w:before="200"/>
      </w:pPr>
      <w:r>
        <w:rPr>
          <w:b/>
          <w:bCs/>
        </w:rPr>
        <w:t xml:space="preserve">DA115 Computer Applications</w:t>
      </w:r>
      <w:r>
        <w:rPr>
          <w:i/>
          <w:iCs/>
        </w:rPr>
        <w:t xml:space="preserve">  ·  4 ECTS  ·  Semester 1</w:t>
      </w:r>
    </w:p>
    <w:p>
      <w:pPr>
        <w:spacing w:after="160"/>
      </w:pPr>
      <w:r>
        <w:t xml:space="preserve">Introduces general computer literacy and common office software, building the digital skills used later in dental office administration.</w:t>
      </w:r>
    </w:p>
    <w:p>
      <w:pPr>
        <w:pStyle w:val="Heading2"/>
        <w:spacing w:after="160" w:before="240"/>
      </w:pPr>
      <w:r>
        <w:t xml:space="preserve">13.2 Semester 2 courses</w:t>
      </w:r>
    </w:p>
    <w:p>
      <w:pPr>
        <w:spacing w:after="80" w:before="200"/>
      </w:pPr>
      <w:r>
        <w:rPr>
          <w:b/>
          <w:bCs/>
        </w:rPr>
        <w:t xml:space="preserve">DA120 Oral Pathology</w:t>
      </w:r>
      <w:r>
        <w:rPr>
          <w:i/>
          <w:iCs/>
        </w:rPr>
        <w:t xml:space="preserve">  ·  6 ECTS  ·  Semester 2</w:t>
      </w:r>
    </w:p>
    <w:p>
      <w:pPr>
        <w:spacing w:after="160"/>
      </w:pPr>
      <w:r>
        <w:t xml:space="preserve">Covers the diseases of the oral cavity and supporting structures — their recognition, presentation and relevance to chairside assisting.</w:t>
      </w:r>
    </w:p>
    <w:p>
      <w:pPr>
        <w:spacing w:after="80" w:before="200"/>
      </w:pPr>
      <w:r>
        <w:rPr>
          <w:b/>
          <w:bCs/>
        </w:rPr>
        <w:t xml:space="preserve">DA121 Dental Materials</w:t>
      </w:r>
      <w:r>
        <w:rPr>
          <w:i/>
          <w:iCs/>
        </w:rPr>
        <w:t xml:space="preserve">  ·  7 ECTS  ·  Semester 2</w:t>
      </w:r>
    </w:p>
    <w:p>
      <w:pPr>
        <w:spacing w:after="160"/>
      </w:pPr>
      <w:r>
        <w:t xml:space="preserve">Covers the properties, handling and clinical use of restorative, impression and auxiliary dental materials.</w:t>
      </w:r>
    </w:p>
    <w:p>
      <w:pPr>
        <w:spacing w:after="80" w:before="200"/>
      </w:pPr>
      <w:r>
        <w:rPr>
          <w:b/>
          <w:bCs/>
        </w:rPr>
        <w:t xml:space="preserve">DA126 Medical Microbiology</w:t>
      </w:r>
      <w:r>
        <w:rPr>
          <w:i/>
          <w:iCs/>
        </w:rPr>
        <w:t xml:space="preserve">  ·  7 ECTS  ·  Semester 2</w:t>
      </w:r>
    </w:p>
    <w:p>
      <w:pPr>
        <w:spacing w:after="160"/>
      </w:pPr>
      <w:r>
        <w:t xml:space="preserve">Introduces microorganisms of medical relevance and the principles of infection, immunity and laboratory diagnosis that underpin infection control in the dental setting.</w:t>
      </w:r>
    </w:p>
    <w:p>
      <w:pPr>
        <w:spacing w:after="80" w:before="200"/>
      </w:pPr>
      <w:r>
        <w:rPr>
          <w:b/>
          <w:bCs/>
        </w:rPr>
        <w:t xml:space="preserve">DA127 Oral Physiology</w:t>
      </w:r>
      <w:r>
        <w:rPr>
          <w:i/>
          <w:iCs/>
        </w:rPr>
        <w:t xml:space="preserve">  ·  5 ECTS  ·  Semester 2</w:t>
      </w:r>
    </w:p>
    <w:p>
      <w:pPr>
        <w:spacing w:after="160"/>
      </w:pPr>
      <w:r>
        <w:t xml:space="preserve">Covers the physiology of the oral cavity, mastication, salivation and swallowing, and their relevance to dental treatment and patient comfort.</w:t>
      </w:r>
    </w:p>
    <w:p>
      <w:pPr>
        <w:spacing w:after="80" w:before="200"/>
      </w:pPr>
      <w:r>
        <w:rPr>
          <w:b/>
          <w:bCs/>
        </w:rPr>
        <w:t xml:space="preserve">DA124 Medical &amp; Dental Ethics</w:t>
      </w:r>
      <w:r>
        <w:rPr>
          <w:i/>
          <w:iCs/>
        </w:rPr>
        <w:t xml:space="preserve">  ·  5 ECTS  ·  Semester 2</w:t>
      </w:r>
    </w:p>
    <w:p>
      <w:pPr>
        <w:spacing w:after="160"/>
      </w:pPr>
      <w:r>
        <w:t xml:space="preserve">Covers the ethical and legal principles of healthcare practice, patient confidentiality and professional conduct in the dental setting.</w:t>
      </w:r>
    </w:p>
    <w:p>
      <w:pPr>
        <w:pStyle w:val="Heading2"/>
        <w:spacing w:after="160" w:before="240"/>
      </w:pPr>
      <w:r>
        <w:t xml:space="preserve">13.3 Semester 3 courses</w:t>
      </w:r>
    </w:p>
    <w:p>
      <w:pPr>
        <w:spacing w:after="80" w:before="200"/>
      </w:pPr>
      <w:r>
        <w:rPr>
          <w:b/>
          <w:bCs/>
        </w:rPr>
        <w:t xml:space="preserve">DA237 Emergency in Dental Office</w:t>
      </w:r>
      <w:r>
        <w:rPr>
          <w:i/>
          <w:iCs/>
        </w:rPr>
        <w:t xml:space="preserve">  ·  5 ECTS  ·  Semester 3</w:t>
      </w:r>
    </w:p>
    <w:p>
      <w:pPr>
        <w:spacing w:after="160"/>
      </w:pPr>
      <w:r>
        <w:t xml:space="preserve">Prepares students to recognize and respond to medical emergencies that may arise in the dental office, including basic life support. (Recoded from DA230 under the 2026–2027 syllabus table.)</w:t>
      </w:r>
    </w:p>
    <w:p>
      <w:pPr>
        <w:spacing w:after="80" w:before="200"/>
      </w:pPr>
      <w:r>
        <w:rPr>
          <w:b/>
          <w:bCs/>
        </w:rPr>
        <w:t xml:space="preserve">DA238 Clinical Dental Assisting I</w:t>
      </w:r>
      <w:r>
        <w:rPr>
          <w:i/>
          <w:iCs/>
        </w:rPr>
        <w:t xml:space="preserve">  ·  5 ECTS  ·  Semester 3</w:t>
      </w:r>
    </w:p>
    <w:p>
      <w:pPr>
        <w:spacing w:after="160"/>
      </w:pPr>
      <w:r>
        <w:t xml:space="preserve">The first clinical placement module, in which students apply chairside assisting skills under supervision in a clinical setting. (Recoded from DA231 under the 2026–2027 syllabus table; Clinical Dental Assisting II's prerequisite has been updated to this new code — see Section 13.4.)</w:t>
      </w:r>
    </w:p>
    <w:p>
      <w:pPr>
        <w:spacing w:after="80" w:before="200"/>
      </w:pPr>
      <w:r>
        <w:rPr>
          <w:b/>
          <w:bCs/>
        </w:rPr>
        <w:t xml:space="preserve">DA239 Pharmacology &amp; Pain Management</w:t>
      </w:r>
      <w:r>
        <w:rPr>
          <w:i/>
          <w:iCs/>
        </w:rPr>
        <w:t xml:space="preserve">  ·  5 ECTS  ·  Semester 3</w:t>
      </w:r>
    </w:p>
    <w:p>
      <w:pPr>
        <w:spacing w:after="160"/>
      </w:pPr>
      <w:r>
        <w:t xml:space="preserve">Covers drugs commonly used in dentistry, local anaesthesia and pain and anxiety management relevant to the dental assistant's role. (Recoded from DA232.)</w:t>
      </w:r>
    </w:p>
    <w:p>
      <w:pPr>
        <w:spacing w:after="80" w:before="200"/>
      </w:pPr>
      <w:r>
        <w:rPr>
          <w:b/>
          <w:bCs/>
        </w:rPr>
        <w:t xml:space="preserve">DA2310 Pediatric &amp; Preventive Dental Assisting</w:t>
      </w:r>
      <w:r>
        <w:rPr>
          <w:i/>
          <w:iCs/>
        </w:rPr>
        <w:t xml:space="preserve">  ·  5 ECTS  ·  Semester 3</w:t>
      </w:r>
    </w:p>
    <w:p>
      <w:pPr>
        <w:spacing w:after="160"/>
      </w:pPr>
      <w:r>
        <w:t xml:space="preserve">Covers assisting techniques specific to child patients and preventive procedures such as fluoride application and sealants, with a clinical component. (Recoded from DA233.)</w:t>
      </w:r>
    </w:p>
    <w:p>
      <w:pPr>
        <w:spacing w:after="80" w:before="200"/>
      </w:pPr>
      <w:r>
        <w:rPr>
          <w:b/>
          <w:bCs/>
        </w:rPr>
        <w:t xml:space="preserve">DA2311 Orthodontics Assisting</w:t>
      </w:r>
      <w:r>
        <w:rPr>
          <w:i/>
          <w:iCs/>
        </w:rPr>
        <w:t xml:space="preserve">  ·  5 ECTS  ·  Semester 3</w:t>
      </w:r>
    </w:p>
    <w:p>
      <w:pPr>
        <w:spacing w:after="160"/>
      </w:pPr>
      <w:r>
        <w:t xml:space="preserve">Introduces orthodontic appliances, procedures and chairside assisting in the orthodontic setting. (Recoded from DA234.)</w:t>
      </w:r>
    </w:p>
    <w:p>
      <w:pPr>
        <w:spacing w:after="80" w:before="200"/>
      </w:pPr>
      <w:r>
        <w:rPr>
          <w:b/>
          <w:bCs/>
        </w:rPr>
        <w:t xml:space="preserve">DA2312 Career Development &amp; Entrepreneurship</w:t>
      </w:r>
      <w:r>
        <w:rPr>
          <w:i/>
          <w:iCs/>
        </w:rPr>
        <w:t xml:space="preserve">  ·  5 ECTS  ·  Semester 3</w:t>
      </w:r>
    </w:p>
    <w:p>
      <w:pPr>
        <w:spacing w:after="160"/>
      </w:pPr>
      <w:r>
        <w:t xml:space="preserve">Introduces employability and career-planning skills alongside the principles of starting and running a small enterprise, including basic business planning relevant to a dental practice or related venture. Previously carried no code; assigned DA2312 under the 2026–2027 syllabus table.</w:t>
      </w:r>
    </w:p>
    <w:p>
      <w:pPr>
        <w:pStyle w:val="Heading2"/>
        <w:spacing w:after="160" w:before="240"/>
      </w:pPr>
      <w:r>
        <w:t xml:space="preserve">13.4 Semester 4 courses</w:t>
      </w:r>
    </w:p>
    <w:p>
      <w:pPr>
        <w:spacing w:after="80" w:before="200"/>
      </w:pPr>
      <w:r>
        <w:rPr>
          <w:b/>
          <w:bCs/>
        </w:rPr>
        <w:t xml:space="preserve">DA246 Dental Office Management</w:t>
      </w:r>
      <w:r>
        <w:rPr>
          <w:i/>
          <w:iCs/>
        </w:rPr>
        <w:t xml:space="preserve">  ·  6 ECTS  ·  Semester 4</w:t>
      </w:r>
    </w:p>
    <w:p>
      <w:pPr>
        <w:spacing w:after="160"/>
      </w:pPr>
      <w:r>
        <w:t xml:space="preserve">Covers the administrative side of dental practice — scheduling, records, billing and insurance — building the skills behind PLO3. (Recoded from DA240.)</w:t>
      </w:r>
    </w:p>
    <w:p>
      <w:pPr>
        <w:spacing w:after="80" w:before="200"/>
      </w:pPr>
      <w:r>
        <w:rPr>
          <w:b/>
          <w:bCs/>
        </w:rPr>
        <w:t xml:space="preserve">DA247 Maxillofacial Radiography &amp; AI Application</w:t>
      </w:r>
      <w:r>
        <w:rPr>
          <w:i/>
          <w:iCs/>
        </w:rPr>
        <w:t xml:space="preserve">  ·  6 ECTS  ·  Semester 4</w:t>
      </w:r>
    </w:p>
    <w:p>
      <w:pPr>
        <w:spacing w:after="160"/>
      </w:pPr>
      <w:r>
        <w:t xml:space="preserve">Covers dental and maxillofacial radiographic technique, safety, and an introduction to AI-assisted image interpretation tools now used in dental radiography. (Recoded from DA241.)</w:t>
      </w:r>
    </w:p>
    <w:p>
      <w:pPr>
        <w:spacing w:after="80" w:before="200"/>
      </w:pPr>
      <w:r>
        <w:rPr>
          <w:b/>
          <w:bCs/>
        </w:rPr>
        <w:t xml:space="preserve">DA242 Psychology</w:t>
      </w:r>
      <w:r>
        <w:rPr>
          <w:i/>
          <w:iCs/>
        </w:rPr>
        <w:t xml:space="preserve">  ·  5 ECTS  ·  Semester 4</w:t>
      </w:r>
    </w:p>
    <w:p>
      <w:pPr>
        <w:spacing w:after="160"/>
      </w:pPr>
      <w:r>
        <w:t xml:space="preserve">Introduces principles of human behaviour and patient psychology relevant to patient management in the dental setting.</w:t>
      </w:r>
    </w:p>
    <w:p>
      <w:pPr>
        <w:spacing w:after="80" w:before="200"/>
      </w:pPr>
      <w:r>
        <w:rPr>
          <w:b/>
          <w:bCs/>
        </w:rPr>
        <w:t xml:space="preserve">DA243 Oral &amp; Maxillofacial Surgery Assisting</w:t>
      </w:r>
      <w:r>
        <w:rPr>
          <w:i/>
          <w:iCs/>
        </w:rPr>
        <w:t xml:space="preserve">  ·  7 ECTS  ·  Semester 4</w:t>
      </w:r>
    </w:p>
    <w:p>
      <w:pPr>
        <w:spacing w:after="160"/>
      </w:pPr>
      <w:r>
        <w:t xml:space="preserve">Covers chairside assisting for oral and maxillofacial surgical procedures, with a clinical component.</w:t>
      </w:r>
    </w:p>
    <w:p>
      <w:pPr>
        <w:spacing w:after="80" w:before="200"/>
      </w:pPr>
      <w:r>
        <w:rPr>
          <w:b/>
          <w:bCs/>
        </w:rPr>
        <w:t xml:space="preserve">DA244 Clinical Dental Assisting II</w:t>
      </w:r>
      <w:r>
        <w:rPr>
          <w:i/>
          <w:iCs/>
        </w:rPr>
        <w:t xml:space="preserve">  ·  6 ECTS  ·  Semester 4</w:t>
      </w:r>
    </w:p>
    <w:p>
      <w:pPr>
        <w:spacing w:after="160"/>
      </w:pPr>
      <w:r>
        <w:t xml:space="preserve">The second, more advanced clinical placement module, building on Clinical Dental Assisting I under continued supervision. Its prerequisite is recorded here as DA238 (previously DA231), reflecting the recoding of Clinical Dental Assisting I in the 2026–2027 syllabus table.</w:t>
      </w:r>
    </w:p>
    <w:p>
      <w:pPr>
        <w:spacing w:after="80" w:before="200"/>
      </w:pPr>
      <w:r>
        <w:rPr>
          <w:b/>
          <w:bCs/>
        </w:rPr>
        <w:t xml:space="preserve">DA245 Summer Training</w:t>
      </w:r>
      <w:r>
        <w:rPr>
          <w:i/>
          <w:iCs/>
        </w:rPr>
        <w:t xml:space="preserve">  ·  0 ECTS  ·  Semester 4</w:t>
      </w:r>
    </w:p>
    <w:p>
      <w:pPr>
        <w:spacing w:after="160"/>
      </w:pPr>
      <w:r>
        <w:t xml:space="preserve">A mandatory, non-credit-bearing placement in an approved dental setting, recorded as Pass/Fail, giving students supervised workplace experience. See the Note in Section 4.1 regarding an unresolved prerequisite and subject-name discrepancy for this code in the department's syllabus table.</w:t>
      </w:r>
    </w:p>
    <w:p>
      <w:pPr>
        <w:pStyle w:val="Heading1"/>
        <w:spacing w:after="200" w:before="320"/>
      </w:pPr>
      <w:r>
        <w:t xml:space="preserve">14. Graduation checklist</w:t>
      </w:r>
    </w:p>
    <w:p>
      <w:pPr>
        <w:spacing w:after="160"/>
      </w:pPr>
      <w:r>
        <w:t xml:space="preserve">To graduate, students must pass every course listed in the course menu at Section 10, together with DA245 Summer Training. It is the responsibility of the student to ensure that all courses are taken and passed within the maximum registration period of four years. Students who have not completed and passed every listed course are not permitted to graduate.</w:t>
      </w:r>
    </w:p>
    <w:p>
      <w:pPr>
        <w:spacing w:after="160"/>
      </w:pPr>
      <w:r>
        <w:t xml:space="preserve">The department confirms award eligibility against this checklist before submitting the graduating list to the registry.</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320"/>
    </w:pPr>
    <w:rPr>
      <w:b/>
      <w:bCs/>
      <w:color w:val="1F3864"/>
      <w:sz w:val="30"/>
      <w:szCs w:val="30"/>
    </w:rPr>
  </w:style>
  <w:style w:type="paragraph" w:styleId="Heading2">
    <w:name w:val="Heading 2"/>
    <w:basedOn w:val="Normal"/>
    <w:next w:val="Normal"/>
    <w:qFormat/>
    <w:pPr>
      <w:spacing w:after="160" w:before="240"/>
    </w:pPr>
    <w:rPr>
      <w:b/>
      <w:bCs/>
      <w:color w:val="2E5395"/>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2026-09-13T19:17:10.512Z</dcterms:created>
  <dcterms:modified xsi:type="dcterms:W3CDTF">2026-09-13T19:17:10.521Z</dcterms:modified>
</cp:coreProperties>
</file>

<file path=docProps/custom.xml><?xml version="1.0" encoding="utf-8"?>
<Properties xmlns="http://schemas.openxmlformats.org/officeDocument/2006/custom-properties" xmlns:vt="http://schemas.openxmlformats.org/officeDocument/2006/docPropsVTypes"/>
</file>